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cannot give a link during review without identifying ourselves, so it goes public under a permanent citable identifier on acceptance, and we will supply it to the editorial office in any anonymized form the office prefers.</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VII F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after an affine fit, because a calibration error presumes the ordering is right and only the scale is wrong, which is not the case here. We therefore took the second branch. The component is renamed a learned cooperation map throughout the paper, the word calibrated is not used of the map anywhere, and Section VII F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VI A is the only place the map is trained toward a meaning. It rewards agreement between the map and the estimated correction potential, so the map is pushed to be high where the correction has room to act. Whether that coincides with backbone error is exactly what Section VII F measures.</w:t>
      </w:r>
    </w:p>
    <w:p>
      <w:pPr>
        <w:spacing w:before="120" w:after="40"/>
      </w:pPr>
      <w:r>
        <w:rPr>
          <w:b/>
          <w:sz w:val="21"/>
        </w:rPr>
        <w:t>Changes in the manuscript</w:t>
      </w:r>
    </w:p>
    <w:p>
      <w:pPr>
        <w:pStyle w:val="ListBullet"/>
        <w:spacing w:after="40"/>
      </w:pPr>
      <w:r>
        <w:rPr>
          <w:sz w:val="21"/>
        </w:rPr>
        <w:t>Section VII F is new, file 07_results.</w:t>
      </w:r>
    </w:p>
    <w:p>
      <w:pPr>
        <w:pStyle w:val="ListBullet"/>
        <w:spacing w:after="40"/>
      </w:pPr>
      <w:r>
        <w:rPr>
          <w:sz w:val="21"/>
        </w:rPr>
        <w:t>The map is renamed a learned cooperation map in Sections IV B and VIII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VII D removes one property at a time at test time, which sets its score to the satisfied value and its failure map to zero, and re evaluates the whole 173 image test set with the reported NAFNet model. Fig. S1 of the supplementary file draws the result and the full table is in the supplementary file.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model Table 3 reports.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VII D is new, file 07_results, and Fig. S1 of the supplementary file.</w:t>
      </w:r>
    </w:p>
    <w:p>
      <w:pPr>
        <w:pStyle w:val="ListBullet"/>
        <w:spacing w:after="40"/>
      </w:pPr>
      <w:r>
        <w:rPr>
          <w:sz w:val="21"/>
        </w:rPr>
        <w:t>The full leave one out table is in the supplementary file, generated as tab_lopo.tex.</w:t>
      </w:r>
    </w:p>
    <w:p>
      <w:pPr>
        <w:pStyle w:val="ListBullet"/>
        <w:spacing w:after="40"/>
      </w:pPr>
      <w:r>
        <w:rPr>
          <w:sz w:val="21"/>
        </w:rPr>
        <w:t>Section VIII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VII H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is unchanged within the spread across images. Both happened, and we have done exactly that. The first sentence of Section VII H now states that the correction raises the invented edge rate and lowers weak structure retention, both by small but significant amounts,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VIII B states plainly that no clinician read these images and that a reader study is the correct next step.</w:t>
      </w:r>
    </w:p>
    <w:p>
      <w:pPr>
        <w:ind w:left="0"/>
        <w:jc w:val="both"/>
      </w:pPr>
      <w:r>
        <w:rPr>
          <w:b w:val="0"/>
          <w:i w:val="0"/>
          <w:sz w:val="21"/>
        </w:rPr>
        <w:t>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VII H is new, file 07_results.</w:t>
      </w:r>
    </w:p>
    <w:p>
      <w:pPr>
        <w:pStyle w:val="ListBullet"/>
        <w:spacing w:after="40"/>
      </w:pPr>
      <w:r>
        <w:rPr>
          <w:sz w:val="21"/>
        </w:rPr>
        <w:t>Fig. S1 of the supplementary file draws the safety quantities.</w:t>
      </w:r>
    </w:p>
    <w:p>
      <w:pPr>
        <w:pStyle w:val="ListBullet"/>
        <w:spacing w:after="40"/>
      </w:pPr>
      <w:r>
        <w:rPr>
          <w:sz w:val="21"/>
        </w:rPr>
        <w:t>Section VIII B states that no expert reading was performed.</w:t>
      </w:r>
    </w:p>
    <w:p>
      <w:pPr>
        <w:pStyle w:val="ListBullet"/>
        <w:spacing w:after="40"/>
      </w:pPr>
      <w:r>
        <w:rPr>
          <w:sz w:val="21"/>
        </w:rPr>
        <w:t>Section VIII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IV E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 C says which quantities were selected on validation. Only one is, the fidelity dead zone, together with the choice of background rule. Whether any of it materially affects the result. Section VII D varies the base level, each rule weight, and the conjunction, and re evaluates.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IV E states the allocation rule and the identity that fixes its budgets, file 04b_properties_allocation.</w:t>
      </w:r>
    </w:p>
    <w:p>
      <w:pPr>
        <w:pStyle w:val="ListBullet"/>
        <w:spacing w:after="40"/>
      </w:pPr>
      <w:r>
        <w:rPr>
          <w:sz w:val="21"/>
        </w:rPr>
        <w:t>Section VI C states what was selected and how, file 06_training.</w:t>
      </w:r>
    </w:p>
    <w:p>
      <w:pPr>
        <w:pStyle w:val="ListBullet"/>
        <w:spacing w:after="40"/>
      </w:pPr>
      <w:r>
        <w:rPr>
          <w:sz w:val="21"/>
        </w:rPr>
        <w:t>Section VII D is the sensitivity study, file 07_results,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II C positions our method against them and Section VIII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w:t>
      </w:r>
    </w:p>
    <w:p>
      <w:pPr>
        <w:pStyle w:val="ListBullet"/>
        <w:spacing w:after="40"/>
      </w:pPr>
      <w:r>
        <w:rPr>
          <w:sz w:val="21"/>
        </w:rPr>
        <w:t>Eleven references added.</w:t>
      </w:r>
    </w:p>
    <w:p>
      <w:pPr>
        <w:pStyle w:val="ListBullet"/>
        <w:spacing w:after="40"/>
      </w:pPr>
      <w:r>
        <w:rPr>
          <w:sz w:val="21"/>
        </w:rPr>
        <w:t>Section VIII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VII A, under the heading Transfer protocol, states the protocol exactly. Table 4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VI C names the gate selected for each backbone. The revision also splits the single merged table of the first revision into three. Table 3 is the test set, Table 4 the transfer with nothing refitted, and Table 5 the component removals and the alternative operators. Table 4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VII A, under the heading Transfer protocol, is new, file 07_results.</w:t>
      </w:r>
    </w:p>
    <w:p>
      <w:pPr>
        <w:pStyle w:val="ListBullet"/>
        <w:spacing w:after="40"/>
      </w:pPr>
      <w:r>
        <w:rPr>
          <w:sz w:val="21"/>
        </w:rPr>
        <w:t>Table 3 has labeled blocks for both protocols, without adaptation and with adaptation.</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VIII A is new and explains the trade off and when it is worth accepting. 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VIII A explains the remaining drop by the windowed attention, which smooths aggressively inside a window and so gives away the most contrast for the correction to restore. The safety layer already provides the control for a deployment that cannot accept any loss. Tightening the third constraint reduces the admitted change and the output moves back toward the backbone. The dead zone of the fidelity term is the training time counterpart, and Section VI C reports how the result moves with it.</w:t>
      </w:r>
    </w:p>
    <w:p>
      <w:pPr>
        <w:spacing w:before="120" w:after="40"/>
      </w:pPr>
      <w:r>
        <w:rPr>
          <w:b/>
          <w:sz w:val="21"/>
        </w:rPr>
        <w:t>Changes in the manuscript</w:t>
      </w:r>
    </w:p>
    <w:p>
      <w:pPr>
        <w:pStyle w:val="ListBullet"/>
        <w:spacing w:after="40"/>
      </w:pPr>
      <w:r>
        <w:rPr>
          <w:sz w:val="21"/>
        </w:rPr>
        <w:t>Section VIII A is new, file 08_discussion.</w:t>
      </w:r>
    </w:p>
    <w:p>
      <w:pPr>
        <w:pStyle w:val="ListBullet"/>
        <w:spacing w:after="40"/>
      </w:pPr>
      <w:r>
        <w:rPr>
          <w:sz w:val="21"/>
        </w:rPr>
        <w:t>The SwinIR reference mismatch is stated and corrected, see the opening of this letter.</w:t>
      </w:r>
    </w:p>
    <w:p>
      <w:pPr>
        <w:pStyle w:val="ListBullet"/>
        <w:spacing w:after="40"/>
      </w:pPr>
      <w:r>
        <w:rPr>
          <w:sz w:val="21"/>
        </w:rPr>
        <w:t>Section VI C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the statement of post correction as a constrained optimization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 A now gives Definition 1 before the theorem and says what the word does not mean here. It is not stability in the sense of Lyapunov and we claim no fixed point. 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VII G then measures the realized ratio on real images against the constant.</w:t>
      </w:r>
    </w:p>
    <w:p>
      <w:pPr>
        <w:spacing w:before="120" w:after="40"/>
      </w:pPr>
      <w:r>
        <w:rPr>
          <w:b/>
          <w:sz w:val="21"/>
        </w:rPr>
        <w:t>Changes in the manuscript</w:t>
      </w:r>
    </w:p>
    <w:p>
      <w:pPr>
        <w:pStyle w:val="ListBullet"/>
        <w:spacing w:after="40"/>
      </w:pPr>
      <w:r>
        <w:rPr>
          <w:sz w:val="21"/>
        </w:rPr>
        <w:t>Section V A, Definition 1 and Equation 11, file 05_stability.</w:t>
      </w:r>
    </w:p>
    <w:p>
      <w:pPr>
        <w:pStyle w:val="ListBullet"/>
        <w:spacing w:after="40"/>
      </w:pPr>
      <w:r>
        <w:rPr>
          <w:sz w:val="21"/>
        </w:rPr>
        <w:t>Section VII G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1, each of which is defined in Section VI A. The three constraints are stated and then given formally in Section IV G.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used to set the blend weight through the majority rule.</w:t>
      </w:r>
    </w:p>
    <w:p>
      <w:pPr>
        <w:spacing w:before="120" w:after="40"/>
      </w:pPr>
      <w:r>
        <w:rPr>
          <w:b/>
          <w:sz w:val="21"/>
        </w:rPr>
        <w:t>Changes in the manuscript</w:t>
      </w:r>
    </w:p>
    <w:p>
      <w:pPr>
        <w:pStyle w:val="ListBullet"/>
        <w:spacing w:after="40"/>
      </w:pPr>
      <w:r>
        <w:rPr>
          <w:sz w:val="21"/>
        </w:rPr>
        <w:t>Section III B is new, file 03_problem.</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with every subterm expanded beneath the table. Nothing about the properties now lives only in the supplementary file. The scores are all computed from the noisy input and the backbone output alone and each is written as a formula so it can be recomputed from the release. The mathematical reason for the form of each is given in the text of Section IV D. Sensitivity. Section VII D reports the leave one property out study, see the response to Reviewer 1 comment 2, which found that P1, P2 and P5 carry almost all of the effect on PKU37 and that P3, P4 and P6 are close to inert. Section VII D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VII D. The leave one property out numbers are in the response to Reviewer 1 comment 2. For the budget of rule 3 we varied its weight over four settings and the contrast gain moved from plus 3.87 to plus 3.68 percent while every other measure moved by less than 0.2 points, so the correction is not sensitive to that budget.</w:t>
      </w:r>
    </w:p>
    <w:p>
      <w:pPr>
        <w:spacing w:before="120" w:after="40"/>
      </w:pPr>
      <w:r>
        <w:rPr>
          <w:b/>
          <w:sz w:val="21"/>
        </w:rPr>
        <w:t>Changes in the manuscript</w:t>
      </w:r>
    </w:p>
    <w:p>
      <w:pPr>
        <w:pStyle w:val="ListBullet"/>
        <w:spacing w:after="40"/>
      </w:pPr>
      <w:r>
        <w:rPr>
          <w:sz w:val="21"/>
        </w:rPr>
        <w:t>Section IV D defines the six properties, file 04b_properties_allocation, and Table 2 is in 04c_bounded_safety.</w:t>
      </w:r>
    </w:p>
    <w:p>
      <w:pPr>
        <w:pStyle w:val="ListBullet"/>
        <w:spacing w:after="40"/>
      </w:pPr>
      <w:r>
        <w:rPr>
          <w:sz w:val="21"/>
        </w:rPr>
        <w:t>Section VII D and Section VII D, file 07_results.</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 is new and gives the training procedure in full. It has four parts. Section VI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VI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VI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Section VI C states how the operating point was chosen. Section VI D gives initialization and lists every constant with its origin in the main paper,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 is new, file 06_training.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VII H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VII H and in Section VIII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VII H is new, file 07_results.</w:t>
      </w:r>
    </w:p>
    <w:p>
      <w:pPr>
        <w:pStyle w:val="ListBullet"/>
        <w:spacing w:after="40"/>
      </w:pPr>
      <w:r>
        <w:rPr>
          <w:sz w:val="21"/>
        </w:rPr>
        <w:t>Section VIII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VII G is new and tests each theoretical claim of Section V numerically on the test set, and Section I B, Section V B and Section V C each now point forward to it. Three things are checked. For the stability result, Theorem 1, we perturb the rule truth values by a controlled amount and measure the ratio of Definition 1, then compare it with the constant of Equation 12 computed from the trained weights. The constant is 0.5489 and the largest ratio measured over the 173 test images is 0.4679.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VII G is new, file 07_results.</w:t>
      </w:r>
    </w:p>
    <w:p>
      <w:pPr>
        <w:pStyle w:val="ListBullet"/>
        <w:spacing w:after="40"/>
      </w:pPr>
      <w:r>
        <w:rPr>
          <w:sz w:val="21"/>
        </w:rPr>
        <w:t>Section I B and Section 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agree that the work should be auditable and we have built the release.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w:t>
      </w:r>
    </w:p>
    <w:p>
      <w:pPr>
        <w:ind w:left="0"/>
        <w:jc w:val="both"/>
      </w:pPr>
      <w:r>
        <w:rPr>
          <w:b w:val="0"/>
          <w:i w:val="0"/>
          <w:sz w:val="21"/>
        </w:rPr>
        <w:t>We are not able to give a link during review, and we would rather state that plainly than imply otherwise. The repository is ours and naming it identifies us, which the review process does not allow at this stage. We will make the release public under a permanent citable identifier on acceptance. If the editor would like the reviewers to see it before then, we will supply the archive through the editorial office in whatever anonymized form the office prefers, and we would welcome that.</w:t>
      </w:r>
    </w:p>
    <w:p>
      <w:pPr>
        <w:ind w:left="0"/>
        <w:jc w:val="both"/>
      </w:pPr>
      <w:r>
        <w:rPr>
          <w:b w:val="0"/>
          <w:i w:val="0"/>
          <w:sz w:val="21"/>
        </w:rPr>
        <w:t>Preparing this release is what led us to the defects described at the start of this letter. The release documents each one, what it affected and how it was fixed, and ships a script that checks each fix, because a reader of the code should be told rather than left to discover them.</w:t>
      </w:r>
    </w:p>
    <w:p>
      <w:pPr>
        <w:spacing w:before="120" w:after="40"/>
      </w:pPr>
      <w:r>
        <w:rPr>
          <w:b/>
          <w:sz w:val="21"/>
        </w:rPr>
        <w:t>Changes in the manuscript</w:t>
      </w:r>
    </w:p>
    <w:p>
      <w:pPr>
        <w:pStyle w:val="ListBullet"/>
        <w:spacing w:after="40"/>
      </w:pPr>
      <w:r>
        <w:rPr>
          <w:sz w:val="21"/>
        </w:rPr>
        <w:t>The release is complete. No link appears in the manuscript during review, and the archive goes public under a permanent identifier on acceptance.</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pStyle w:val="ListBullet"/>
        <w:spacing w:after="40"/>
      </w:pPr>
      <w:r>
        <w:rPr>
          <w:sz w:val="21"/>
        </w:rPr>
        <w:t>We offer the archive to the reviewers through the editorial office at the editor's discretion.</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VII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VII E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VII E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5 reports all of them. Training with a uniform allocation reaches plus 4.11 percent contrast and plus 11.58 percent tissue contrast index against plus 3.71 and plus 2.42 for the full method, and it pays 0.42 dB of fidelity against 0.17 dB. It is worse on the other three measures, at 0.71 against 1.21 percent on edge preservation, 16.2 against 23.3 on the speckle measure and 5.8 against 10.7 on the signal to noise ratio, so the two are not ordered. The two classical operators reach the largest contrast numbers in the table and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VII E is new, file 07_results.</w:t>
      </w:r>
    </w:p>
    <w:p>
      <w:pPr>
        <w:pStyle w:val="ListBullet"/>
        <w:spacing w:after="40"/>
      </w:pPr>
      <w:r>
        <w:rPr>
          <w:sz w:val="21"/>
        </w:rPr>
        <w:t>The lower blocks of Table 3 report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VI D of the main paper. The budgets are fixed by the identity stated in Section IV E rather than chosen, and their relative sizes preserve the ordering of the submitted version so the rule that dominated still dominates. The rule weights and the base level are learned. Section VI C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VI C now names all ten and the weights that do reach the loss are printed in Equations 14 to 19. The release documents that. Section VII D reports the sensitivity study. No variation of any constant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IV E, file 04b_properties_allocation, and Section VI D, file 06_training.</w:t>
      </w:r>
    </w:p>
    <w:p>
      <w:pPr>
        <w:pStyle w:val="ListBullet"/>
        <w:spacing w:after="40"/>
      </w:pPr>
      <w:r>
        <w:rPr>
          <w:sz w:val="21"/>
        </w:rPr>
        <w:t>Section VI D, file 06_training.</w:t>
      </w:r>
    </w:p>
    <w:p>
      <w:pPr>
        <w:pStyle w:val="ListBullet"/>
        <w:spacing w:after="40"/>
      </w:pPr>
      <w:r>
        <w:rPr>
          <w:sz w:val="21"/>
        </w:rPr>
        <w:t>Section VII D, file 07_results.</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VII I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giving 175893 trainable in total for NAFNet, 254538 for SwinIR and values between the two for DnCNN and KBNet, against about seven million frozen.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4. What needs training is the move to a new backbone, because the head reads that backbone's features, and that cost is what Section VII I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3, where bold marks a mean that exceeds its spread and neither cell is bold, and Section VII B names them in the text. Fitting one seed takes 2.0 minutes for NAFNet, 2.5 for KBNet, 3.9 for DnCNN and 8.3 for SwinIR on one RTX 5070 Ti, and the fidelity spread across seeds is 0.02 dB for NAFNet, 0.06 for SwinIR, 0.08 for KBNet and 0.21 for DnCNN.</w:t>
      </w:r>
    </w:p>
    <w:p>
      <w:pPr>
        <w:spacing w:before="120" w:after="40"/>
      </w:pPr>
      <w:r>
        <w:rPr>
          <w:b/>
          <w:sz w:val="21"/>
        </w:rPr>
        <w:t>Changes in the manuscript</w:t>
      </w:r>
    </w:p>
    <w:p>
      <w:pPr>
        <w:pStyle w:val="ListBullet"/>
        <w:spacing w:after="40"/>
      </w:pPr>
      <w:r>
        <w:rPr>
          <w:sz w:val="21"/>
        </w:rPr>
        <w:t>Section VII I is new, file 07_results.</w:t>
      </w:r>
    </w:p>
    <w:p>
      <w:pPr>
        <w:pStyle w:val="ListBullet"/>
        <w:spacing w:after="40"/>
      </w:pPr>
      <w:r>
        <w:rPr>
          <w:sz w:val="21"/>
        </w:rPr>
        <w:t>Section IV A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VII G, see the response to comment 3.12. The Lipschitz constant is computed from the trained weights by a method of the release and the realized ratio is measured on real images. The constant is 0.5489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VII G, file 07_results.</w:t>
      </w:r>
    </w:p>
    <w:p>
      <w:pPr>
        <w:pStyle w:val="ListBullet"/>
        <w:spacing w:after="40"/>
      </w:pPr>
      <w:r>
        <w:rPr>
          <w:sz w:val="21"/>
        </w:rPr>
        <w:t>The closing paragraph of Section V C, file 05_stability.</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