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initialiser after 2082 optimiser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VII reports the realised ratio measured against it on real images.</w:t>
      </w:r>
    </w:p>
    <w:p>
      <w:pPr>
        <w:ind w:left="0"/>
        <w:jc w:val="both"/>
      </w:pPr>
      <w:r>
        <w:rPr>
          <w:b w:val="0"/>
          <w:i w:val="0"/>
          <w:sz w:val="21"/>
        </w:rPr>
        <w:t>Instrumenting the code for the release exposed four further defects in how the submitted models were trained and selected, and we list them here rather than in the individual answers. First, three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normalisation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All four are fixed. Every source of randomness is now seeded, every setting is trained at three seeds and selected on its worst seed, the normalisation statistics are held fixed, the cache runs at full resolution,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behaviour remains reproducible through a documented switch, so the numbers in the submitted version can still be recovered from the released code.</w:t>
      </w:r>
    </w:p>
    <w:p>
      <w:pPr>
        <w:ind w:left="0"/>
        <w:jc w:val="both"/>
      </w:pPr>
      <w:r>
        <w:rPr>
          <w:b w:val="0"/>
          <w:i w:val="0"/>
          <w:sz w:val="21"/>
        </w:rPr>
        <w:t>Two further 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primary result.</w:t>
      </w:r>
    </w:p>
    <w:p>
      <w:pPr>
        <w:ind w:left="0"/>
        <w:jc w:val="both"/>
      </w:pPr>
      <w:r>
        <w:rPr>
          <w:b w:val="0"/>
          <w:i w:val="0"/>
          <w:sz w:val="21"/>
        </w:rPr>
        <w:t>The manuscript has been rewritten rather than patched. It is now organised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four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primary result is now transfer with no adaptation of any kind, and the adapted protocol is reported separately so the two are not confused.</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behaviour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optimisation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Released the code, the trained weights and the scripts that regenerate every number, with no password.</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IX H compares the map against the absolute error of the backbone output with respect to the clean reference on every test image and reports three quantities. The rank correlation between the map and the error, the sparsification error, and the expected calibration error after a single affine fit.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IX H states that the map predicts where a correction helps rather than how wrong the backbone is. The map is nevertheless load bearing. Replacing it by a constant lowers the contrast gain from plus 3.71 to plus 2.51 percent and worsens five of the six clinical measures, which is why we kept it and renamed it rather than removing it. The cooperation term in Section VIII B is the only place the map is trained toward a meaning. It rewards agreement between the map and the estimated correction potential, so the map is pushed to be high where the correction has room to act. Whether that coincides with backbone error is exactly what Section IX H measures.</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The map is renamed a learned cooperation map in Sections IV B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IX D removes one property at a time at test time, which sets its score to the satisfied value and its failure map to zero, and re evaluates the whole 173 image test set with the reported NAFNet model. Fig. S3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IX D is new, file 07_results, and Fig. S3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X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IX J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behaviour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IX J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Two structural facts also bound the risk. The relative change from the backbone output is capped by the third safety constraint, and the gate suppresses change in the dark region, so a boundary can only be moved by the additive edge branch within that cap. Section X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IX J is new, file 07_results.</w:t>
      </w:r>
    </w:p>
    <w:p>
      <w:pPr>
        <w:pStyle w:val="ListBullet"/>
        <w:spacing w:after="40"/>
      </w:pPr>
      <w:r>
        <w:rPr>
          <w:sz w:val="21"/>
        </w:rPr>
        <w:t>Fig. S3 of the supplementary file draws the safety quantities.</w:t>
      </w:r>
    </w:p>
    <w:p>
      <w:pPr>
        <w:pStyle w:val="ListBullet"/>
        <w:spacing w:after="40"/>
      </w:pPr>
      <w:r>
        <w:rPr>
          <w:sz w:val="21"/>
        </w:rPr>
        <w:t>Section X B states that no expert reading was performed.</w:t>
      </w:r>
    </w:p>
    <w:p>
      <w:pPr>
        <w:pStyle w:val="ListBullet"/>
        <w:spacing w:after="40"/>
      </w:pPr>
      <w:r>
        <w:rPr>
          <w:sz w:val="21"/>
        </w:rPr>
        <w:t>Section X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V B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VIII D says which quantities were selected on validation. Only one is, the fidelity dead zone, together with the choice of background rule. Whether any of it does hidden work. Section IX E varies the base level, each rule weight, and the conjunction, and re evaluates. Across the fourteen variations no measure turns negative. The largest change in any clinical measure is 0.77 points, on contrast, produced by moving the base level to its lowest setting, and every rule weight and every budget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V B states the allocation rule and the identity that fixes its budgets, file 04b_properties_allocation.</w:t>
      </w:r>
    </w:p>
    <w:p>
      <w:pPr>
        <w:pStyle w:val="ListBullet"/>
        <w:spacing w:after="40"/>
      </w:pPr>
      <w:r>
        <w:rPr>
          <w:sz w:val="21"/>
        </w:rPr>
        <w:t>Section VIII D states what was selected and how, file 06_training.</w:t>
      </w:r>
    </w:p>
    <w:p>
      <w:pPr>
        <w:pStyle w:val="ListBullet"/>
        <w:spacing w:after="40"/>
      </w:pPr>
      <w:r>
        <w:rPr>
          <w:sz w:val="21"/>
        </w:rPr>
        <w:t>Section IX E is the sensitivity study, file 07_results, and Fig. S3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discretisation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II C positions our method against them and Section X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w:t>
      </w:r>
    </w:p>
    <w:p>
      <w:pPr>
        <w:pStyle w:val="ListBullet"/>
        <w:spacing w:after="40"/>
      </w:pPr>
      <w:r>
        <w:rPr>
          <w:sz w:val="21"/>
        </w:rPr>
        <w:t>Eleven references added.</w:t>
      </w:r>
    </w:p>
    <w:p>
      <w:pPr>
        <w:pStyle w:val="ListBullet"/>
        <w:spacing w:after="40"/>
      </w:pPr>
      <w:r>
        <w:rPr>
          <w:sz w:val="21"/>
        </w:rPr>
        <w:t>Section X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The manuscript has been rewritten rather than proof read. Every section was rebuilt from the top down, which removed the errors along with the text that contained them. We also adopted three mechanical writing rules and enforced them with a script that runs over the source, namely no em dash, no colon and no semicolon in body prose. The script reports zero violations in the revised source. The same pass removed every use of the words experiment and experimental, which is Reviewer 3 comment 15.</w:t>
      </w:r>
    </w:p>
    <w:p>
      <w:pPr>
        <w:spacing w:before="120" w:after="40"/>
      </w:pPr>
      <w:r>
        <w:rPr>
          <w:b/>
          <w:sz w:val="21"/>
        </w:rPr>
        <w:t>Changes in the manuscript</w:t>
      </w:r>
    </w:p>
    <w:p>
      <w:pPr>
        <w:pStyle w:val="ListBullet"/>
        <w:spacing w:after="40"/>
      </w:pPr>
      <w:r>
        <w:rPr>
          <w:sz w:val="21"/>
        </w:rPr>
        <w:t>The whole manuscript was rewritten.</w:t>
      </w:r>
    </w:p>
    <w:p>
      <w:pPr>
        <w:pStyle w:val="ListBullet"/>
        <w:spacing w:after="40"/>
      </w:pPr>
      <w:r>
        <w:rPr>
          <w:sz w:val="21"/>
        </w:rPr>
        <w:t>revision/style_check.py in the released code enforces the rules.</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code is the authority.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IX A, under the heading Transfer protocol, states the protocol exactly. The no adaptation blocks of Table 3 report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VIII D and the supplementary file name the gate selected for each backbone. The adapted protocol is reported in the lower block of the same table, clearly labelled, so the gap between the two is visible. Table 3 now carries both. The no adaptation blocks give the mean over three seeds for all four backbones on Duke17 and Duke2013, with the seed spread shown in the fidelity column and encoded as bold in the clinical columns, and Table S6 of the supplementary file restores the spread of every clinical cell, and 40 of those 48 backbone by measure by set pairs are positive, with contrast rising in every one of the eight rows. The adapted block gives NAFNet on both sets from the leave one subject out rerun. The table generator reads the leave one subject out result files directly and refuses to emit the block if their recorded resume checkpoint is not the selected NAFNet model, so the two protocols in one table can never describe two different models.</w:t>
      </w:r>
    </w:p>
    <w:p>
      <w:pPr>
        <w:spacing w:before="120" w:after="40"/>
      </w:pPr>
      <w:r>
        <w:rPr>
          <w:b/>
          <w:sz w:val="21"/>
        </w:rPr>
        <w:t>Changes in the manuscript</w:t>
      </w:r>
    </w:p>
    <w:p>
      <w:pPr>
        <w:pStyle w:val="ListBullet"/>
        <w:spacing w:after="40"/>
      </w:pPr>
      <w:r>
        <w:rPr>
          <w:sz w:val="21"/>
        </w:rPr>
        <w:t>Section IX A, under the heading Transfer protocol, is new, file 07_results.</w:t>
      </w:r>
    </w:p>
    <w:p>
      <w:pPr>
        <w:pStyle w:val="ListBullet"/>
        <w:spacing w:after="40"/>
      </w:pPr>
      <w:r>
        <w:rPr>
          <w:sz w:val="21"/>
        </w:rPr>
        <w:t>Table 3 has labelled blocks for both protocols, without adaptation and with adaptation.</w:t>
      </w:r>
    </w:p>
    <w:p>
      <w:pPr>
        <w:pStyle w:val="ListBullet"/>
        <w:spacing w:after="40"/>
      </w:pPr>
      <w:r>
        <w:rPr>
          <w:sz w:val="21"/>
        </w:rPr>
        <w:t>Both protocols have a driver in the released code,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X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X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VIII D reports how the result moves with it.</w:t>
      </w:r>
    </w:p>
    <w:p>
      <w:pPr>
        <w:spacing w:before="120" w:after="40"/>
      </w:pPr>
      <w:r>
        <w:rPr>
          <w:b/>
          <w:sz w:val="21"/>
        </w:rPr>
        <w:t>Changes in the manuscript</w:t>
      </w:r>
    </w:p>
    <w:p>
      <w:pPr>
        <w:pStyle w:val="ListBullet"/>
        <w:spacing w:after="40"/>
      </w:pPr>
      <w:r>
        <w:rPr>
          <w:sz w:val="21"/>
        </w:rPr>
        <w:t>Section X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VIII D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three new ideas, each with a pointer to the section that delivers it. They are the statement of post correction as a constrained optimisation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VII A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IX I then measures the realised ratio on real images against the constant.</w:t>
      </w:r>
    </w:p>
    <w:p>
      <w:pPr>
        <w:spacing w:before="120" w:after="40"/>
      </w:pPr>
      <w:r>
        <w:rPr>
          <w:b/>
          <w:sz w:val="21"/>
        </w:rPr>
        <w:t>Changes in the manuscript</w:t>
      </w:r>
    </w:p>
    <w:p>
      <w:pPr>
        <w:pStyle w:val="ListBullet"/>
        <w:spacing w:after="40"/>
      </w:pPr>
      <w:r>
        <w:rPr>
          <w:sz w:val="21"/>
        </w:rPr>
        <w:t>Section VII A, Definition 1 and Equation 11, file 05_stability.</w:t>
      </w:r>
    </w:p>
    <w:p>
      <w:pPr>
        <w:pStyle w:val="ListBullet"/>
        <w:spacing w:after="40"/>
      </w:pPr>
      <w:r>
        <w:rPr>
          <w:sz w:val="21"/>
        </w:rPr>
        <w:t>Section IX I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1, each of which is defined in Section VIII B. The three constraints are stated and then given formally in Section VI B. The problem is solved by mini batch stochastic gradient descent with AdamW, which is possible because every logical connective is replaced by a smooth piecewise linear surrogate. The reviewer notes that optimisation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binding rather than advisory.</w:t>
      </w:r>
    </w:p>
    <w:p>
      <w:pPr>
        <w:spacing w:before="120" w:after="40"/>
      </w:pPr>
      <w:r>
        <w:rPr>
          <w:b/>
          <w:sz w:val="21"/>
        </w:rPr>
        <w:t>Changes in the manuscript</w:t>
      </w:r>
    </w:p>
    <w:p>
      <w:pPr>
        <w:pStyle w:val="ListBullet"/>
        <w:spacing w:after="40"/>
      </w:pPr>
      <w:r>
        <w:rPr>
          <w:sz w:val="21"/>
        </w:rPr>
        <w:t>Section III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where its failure map is large, and its threshold, and Table S1 of the supplementary file gives the closed form score and map with every subterm expanded. The scores are all computed from the noisy input and the backbone output alone and each is written as a formula so it can be recomputed from the released code. The mathematical reason for the form of each is given in the text of Section V A. Sensitivity. Section IX D reports the leave one property out study, see the response to Reviewer 1 comment 2, which found that P1, P2 and P5 carry almost all of the effect on PKU37 and that P3, P4 and P6 are close to inert. Section IX E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IX E.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V A defines the six properties, file 04b_properties_allocation, and Table 2 is in 04c_bounded_safety.</w:t>
      </w:r>
    </w:p>
    <w:p>
      <w:pPr>
        <w:pStyle w:val="ListBullet"/>
        <w:spacing w:after="40"/>
      </w:pPr>
      <w:r>
        <w:rPr>
          <w:sz w:val="21"/>
        </w:rPr>
        <w:t>Section IX D and Section IX E,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VIII is new and gives the training procedure in full. It has five parts. Section VIII A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VIII B gives the five loss terms as Equations 14 to 18 with what each measures and why that form was chosen. Section VIII C gives the schedule, the two stages, the optimiser and the three learning rates, and Algorithm 1 of the supplementary file states the procedure step by step, including the seed, the dead zone and the frozen normalisation statistics of the backbone as explicit inputs. Section VIII D states how the operating point was chosen. Section VIII E gives initialisation and Table S2 of the supplementary file lists every constant with its origin, marked fixed, measured, selected or learned. We also record the exact training command in the released code,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VIII is new, file 06_training. Paired data, loss terms, schedule, operating point, initialisation, and Table S2 of the supplementary file.</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released code,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IX J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IX J and in Section X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IX J is new, file 07_results.</w:t>
      </w:r>
    </w:p>
    <w:p>
      <w:pPr>
        <w:pStyle w:val="ListBullet"/>
        <w:spacing w:after="40"/>
      </w:pPr>
      <w:r>
        <w:rPr>
          <w:sz w:val="21"/>
        </w:rPr>
        <w:t>Section X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IX I is new and tests each theoretical claim of Section VII numerically on the test set, and Section I B, Section VII B and Section VII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so the bound holds on every image and is not tight, which is the expected direction for a proof that is conservative rather than wrong.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IX I is new, file 07_results.</w:t>
      </w:r>
    </w:p>
    <w:p>
      <w:pPr>
        <w:pStyle w:val="ListBullet"/>
        <w:spacing w:after="40"/>
      </w:pPr>
      <w:r>
        <w:rPr>
          <w:sz w:val="21"/>
        </w:rPr>
        <w:t>Section I B and Section VII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and we have prepared the release the reviewer asks for. It contains the model code, the four correctors the revised paper reports with the background gate each was selected under, the split lists, the result file of every scored run, and one driver per table and per figure. The frozen backbones and the correctors of the submitted version are an archive attached to the release, since they are larger and never change. A manifest maps every table, figure and quoted number to the script and the result file that produced it. The result files themselves are included, so a reader can rebuild every table without running anything, and a script checks each of the defects listed at the start of this letter. We have not put a link in the manuscript, for one reason. The review is double blind and any repository we control identifies us, so a link now would breach the anonymity the process requires. We would rather say this plainly than give a link that either identifies us or points at an empty anonymised copy that cannot be maintained. The archive is ready and we will make it public under a permanent citable identifier on acceptance, and we are glad to supply it to the reviewers through the editorial office at any point in the review if the editor prefers that. Preparing this release is what led us to find the defects described at the start of this letter. The release documents each of them, what it affected, how it was fixed, and gives a script that checks each fix, because we think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and will be public under a permanent identifier on acceptance. No link appears in the manuscript during double blind review.</w:t>
      </w:r>
    </w:p>
    <w:p>
      <w:pPr>
        <w:pStyle w:val="ListBullet"/>
        <w:spacing w:after="40"/>
      </w:pPr>
      <w:r>
        <w:rPr>
          <w:sz w:val="21"/>
        </w:rPr>
        <w:t>The release includes the code, the weights, the data lists, the result files, and the scripts that regenerate every number.</w:t>
      </w:r>
    </w:p>
    <w:p>
      <w:pPr>
        <w:pStyle w:val="ListBullet"/>
        <w:spacing w:after="40"/>
      </w:pPr>
      <w:r>
        <w:rPr>
          <w:sz w:val="21"/>
        </w:rPr>
        <w:t>The release README documents the five defects found during the revision and how to verify each fix.</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recorded and released script.</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IX of the revised paper. Every occurrence of the words experiment and experimental has been removed from the titles and the body and replaced by test, result or study. This is checked by a script included in the released code,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released code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IX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IX G now says that this competitor is the same architecture with the same parameter budget and the same objective, trained for the same ten epochs, with the rule layer replaced by a uniform allocation for the whole of training rather than only at test time, and that it keeps the properties and the safety layer so that only one thing differs. The row is labelled uniform allocation, trained, and the paper says explicitly that it isolates the rule layer. The second and third are classical operators, unsharp masking and contrast limited adaptive histogram equalisation, with their strength tuned on the forty image validation subset under the same rule used for our own constants. The lower blocks of Table 3 report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equalisation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IX G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released code.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there are two kinds of constant, listed with their origin in Table S2 of the supplementary file. The budgets are fixed by the identity stated in Section V B rather than chosen, and their relative sizes preserve the ordering of the submitted version so the rule that dominated still dominates. The rule weights and the base level are learned. Section VIII D states that exactly one quantity of the objective was tuned, the fidelity dead zone, together with the choice of background rule, and that both were selected on the validation split at three seeds by a recorded rule. We also found that three further weight flags in the training script were parsed and never used, so the four settings of the earlier search differed in the dead zone alone. The release documents that. Section IX E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V B, file 04b_properties_allocation, and Table S2 of the supplementary file.</w:t>
      </w:r>
    </w:p>
    <w:p>
      <w:pPr>
        <w:pStyle w:val="ListBullet"/>
        <w:spacing w:after="40"/>
      </w:pPr>
      <w:r>
        <w:rPr>
          <w:sz w:val="21"/>
        </w:rPr>
        <w:t>Section VIII D, file 06_training.</w:t>
      </w:r>
    </w:p>
    <w:p>
      <w:pPr>
        <w:pStyle w:val="ListBullet"/>
        <w:spacing w:after="40"/>
      </w:pPr>
      <w:r>
        <w:rPr>
          <w:sz w:val="21"/>
        </w:rPr>
        <w:t>Section IX E,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IX K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the no adaptation blocks of Table 3. What needs training is the move to a new backbone, because the head reads that backbone's features, and that cost is what Section IX K reports. This happens twice and we say so. The tissue contrast index of DnCNN has mean plus 0.99 percent with a seed to seed standard deviation of 1.32, and the edge preservation of KBNet has mean 0.00 percent with a standard deviation of 0.06. Both are visible in Table 3, where the bold marks a mean that exceeds its spread and neither cell is bold, and Section IX B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IX K is new, file 07_results.</w:t>
      </w:r>
    </w:p>
    <w:p>
      <w:pPr>
        <w:pStyle w:val="ListBullet"/>
        <w:spacing w:after="40"/>
      </w:pPr>
      <w:r>
        <w:rPr>
          <w:sz w:val="21"/>
        </w:rPr>
        <w:t>Table S5 of the supplementary file gives the feature tensor read by the head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IX I, see the response to comment 3.12. The Lipschitz constant is computed from the trained weights by a method of the released code and the realised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IX I, file 07_results.</w:t>
      </w:r>
    </w:p>
    <w:p>
      <w:pPr>
        <w:pStyle w:val="ListBullet"/>
        <w:spacing w:after="40"/>
      </w:pPr>
      <w:r>
        <w:rPr>
          <w:sz w:val="21"/>
        </w:rPr>
        <w:t>The closing paragraph of Section VII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centre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