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非功能需求、数据需求和个性化需求八个维度进行系统的需求分析。第4章总体设计，设计系统的整体架构、模块划分、核心数据流、数据处理流程、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其中</w:t>
      </w:r>
      <w:r>
        <w:rPr>
          <w:rFonts w:ascii="Times New Roman" w:hAnsi="Times New Roman" w:eastAsia="宋体"/>
          <w:i/>
          <w:sz w:val="24"/>
        </w:rPr>
        <w:t>sim</w:t>
      </w:r>
      <w:r>
        <w:rPr>
          <w:rFonts w:ascii="Times New Roman" w:hAnsi="Times New Roman" w:eastAsia="宋体"/>
          <w:sz w:val="24"/>
        </w:rPr>
        <w:t>(</w:t>
      </w:r>
      <w:r>
        <w:rPr>
          <w:rFonts w:ascii="Times New Roman" w:hAnsi="Times New Roman" w:eastAsia="宋体"/>
          <w:i/>
          <w:sz w:val="24"/>
        </w:rPr>
        <w:t>u</w:t>
      </w:r>
      <w:r>
        <w:rPr>
          <w:rFonts w:ascii="Times New Roman" w:hAnsi="Times New Roman" w:eastAsia="宋体"/>
          <w:sz w:val="24"/>
        </w:rPr>
        <w:t>,</w:t>
      </w:r>
      <w:r>
        <w:rPr>
          <w:rFonts w:ascii="Times New Roman" w:hAnsi="Times New Roman" w:eastAsia="宋体"/>
          <w:i/>
          <w:sz w:val="24"/>
        </w:rPr>
        <w:t>v</w:t>
      </w:r>
      <w:r>
        <w:rPr>
          <w:rFonts w:ascii="Times New Roman" w:hAnsi="Times New Roman" w:eastAsia="宋体"/>
          <w:sz w:val="24"/>
        </w:rPr>
        <w:t>)表示用户</w:t>
      </w:r>
      <w:r>
        <w:rPr>
          <w:rFonts w:ascii="Times New Roman" w:hAnsi="Times New Roman" w:eastAsia="宋体"/>
          <w:i/>
          <w:sz w:val="24"/>
        </w:rPr>
        <w:t>u</w:t>
      </w:r>
      <w:r>
        <w:rPr>
          <w:rFonts w:ascii="Times New Roman" w:hAnsi="Times New Roman" w:eastAsia="宋体"/>
          <w:sz w:val="24"/>
        </w:rPr>
        <w:t>与用户</w:t>
      </w:r>
      <w:r>
        <w:rPr>
          <w:rFonts w:ascii="Times New Roman" w:hAnsi="Times New Roman" w:eastAsia="宋体"/>
          <w:i/>
          <w:sz w:val="24"/>
        </w:rPr>
        <w:t>v</w:t>
      </w:r>
      <w:r>
        <w:rPr>
          <w:rFonts w:ascii="Times New Roman" w:hAnsi="Times New Roman" w:eastAsia="宋体"/>
          <w:sz w:val="24"/>
        </w:rPr>
        <w:t>之间的余弦相似度，</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分别为用户</w:t>
      </w:r>
      <w:r>
        <w:rPr>
          <w:rFonts w:ascii="Times New Roman" w:hAnsi="Times New Roman" w:eastAsia="宋体"/>
          <w:i/>
          <w:sz w:val="24"/>
        </w:rPr>
        <w:t>u</w:t>
      </w:r>
      <w:r>
        <w:rPr>
          <w:rFonts w:ascii="Times New Roman" w:hAnsi="Times New Roman" w:eastAsia="宋体"/>
          <w:sz w:val="24"/>
        </w:rPr>
        <w:t>和用户</w:t>
      </w:r>
      <w:r>
        <w:rPr>
          <w:rFonts w:ascii="Times New Roman" w:hAnsi="Times New Roman" w:eastAsia="宋体"/>
          <w:i/>
          <w:sz w:val="24"/>
        </w:rPr>
        <w:t>v</w:t>
      </w:r>
      <w:r>
        <w:rPr>
          <w:rFonts w:ascii="Times New Roman" w:hAnsi="Times New Roman" w:eastAsia="宋体"/>
          <w:sz w:val="24"/>
        </w:rPr>
        <w:t>的评分向量，"·"表示向量点积运算，‖</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‖分别为两个向量的L2范数。相似度值域为[0, 1]，值越接近1表示两个用户的行为模式越相似。</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其中</w:t>
      </w:r>
      <w:r>
        <w:rPr>
          <w:rFonts w:ascii="Times New Roman" w:hAnsi="Times New Roman" w:eastAsia="宋体"/>
          <w:i/>
          <w:sz w:val="24"/>
        </w:rPr>
        <w:t>y</w:t>
      </w:r>
      <w:r>
        <w:rPr>
          <w:rFonts w:ascii="Times New Roman" w:hAnsi="Times New Roman" w:eastAsia="宋体"/>
          <w:sz w:val="24"/>
          <w:vertAlign w:val="subscript"/>
        </w:rPr>
        <w:t>FM</w:t>
      </w:r>
      <w:r>
        <w:rPr>
          <w:rFonts w:ascii="Times New Roman" w:hAnsi="Times New Roman" w:eastAsia="宋体"/>
          <w:sz w:val="24"/>
        </w:rPr>
        <w:t>为FM组件的输出值，</w:t>
      </w:r>
      <w:r>
        <w:rPr>
          <w:rFonts w:ascii="Times New Roman" w:hAnsi="Times New Roman" w:eastAsia="宋体"/>
          <w:i/>
          <w:sz w:val="24"/>
        </w:rPr>
        <w:t>w</w:t>
      </w:r>
      <w:r>
        <w:rPr>
          <w:rFonts w:ascii="Times New Roman" w:hAnsi="Times New Roman" w:eastAsia="宋体"/>
          <w:sz w:val="24"/>
          <w:vertAlign w:val="subscript"/>
        </w:rPr>
        <w:t>0</w:t>
      </w:r>
      <w:r>
        <w:rPr>
          <w:rFonts w:ascii="Times New Roman" w:hAnsi="Times New Roman" w:eastAsia="宋体"/>
          <w:sz w:val="24"/>
        </w:rPr>
        <w:t>为全局偏置项，</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个特征的一阶权重，</w:t>
      </w:r>
      <w:r>
        <w:rPr>
          <w:rFonts w:ascii="Times New Roman" w:hAnsi="Times New Roman" w:eastAsia="宋体"/>
          <w:i/>
          <w:sz w:val="24"/>
        </w:rPr>
        <w:t>x</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个特征的输入值，</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和</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分别为第</w:t>
      </w:r>
      <w:r>
        <w:rPr>
          <w:rFonts w:ascii="Times New Roman" w:hAnsi="Times New Roman" w:eastAsia="宋体"/>
          <w:i/>
          <w:sz w:val="24"/>
        </w:rPr>
        <w:t>i</w:t>
      </w:r>
      <w:r>
        <w:rPr>
          <w:rFonts w:ascii="Times New Roman" w:hAnsi="Times New Roman" w:eastAsia="宋体"/>
          <w:sz w:val="24"/>
        </w:rPr>
        <w:t>个和第</w:t>
      </w:r>
      <w:r>
        <w:rPr>
          <w:rFonts w:ascii="Times New Roman" w:hAnsi="Times New Roman" w:eastAsia="宋体"/>
          <w:i/>
          <w:sz w:val="24"/>
        </w:rPr>
        <w:t>j</w:t>
      </w:r>
      <w:r>
        <w:rPr>
          <w:rFonts w:ascii="Times New Roman" w:hAnsi="Times New Roman" w:eastAsia="宋体"/>
          <w:sz w:val="24"/>
        </w:rPr>
        <w:t>个特征对应的</w:t>
      </w:r>
      <w:r>
        <w:rPr>
          <w:rFonts w:ascii="Times New Roman" w:hAnsi="Times New Roman" w:eastAsia="宋体"/>
          <w:i/>
          <w:sz w:val="24"/>
        </w:rPr>
        <w:t>k</w:t>
      </w:r>
      <w:r>
        <w:rPr>
          <w:rFonts w:ascii="Times New Roman" w:hAnsi="Times New Roman" w:eastAsia="宋体"/>
          <w:sz w:val="24"/>
        </w:rPr>
        <w:t>维隐向量，⟨</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⟩表示两个隐向量的内积，用于建模特征</w:t>
      </w:r>
      <w:r>
        <w:rPr>
          <w:rFonts w:ascii="Times New Roman" w:hAnsi="Times New Roman" w:eastAsia="宋体"/>
          <w:i/>
          <w:sz w:val="24"/>
        </w:rPr>
        <w:t>i</w:t>
      </w:r>
      <w:r>
        <w:rPr>
          <w:rFonts w:ascii="Times New Roman" w:hAnsi="Times New Roman" w:eastAsia="宋体"/>
          <w:sz w:val="24"/>
        </w:rPr>
        <w:t>与特征</w:t>
      </w:r>
      <w:r>
        <w:rPr>
          <w:rFonts w:ascii="Times New Roman" w:hAnsi="Times New Roman" w:eastAsia="宋体"/>
          <w:i/>
          <w:sz w:val="24"/>
        </w:rPr>
        <w:t>j</w:t>
      </w:r>
      <w:r>
        <w:rPr>
          <w:rFonts w:ascii="Times New Roman" w:hAnsi="Times New Roman" w:eastAsia="宋体"/>
          <w:sz w:val="24"/>
        </w:rPr>
        <w:t>之间的二阶交叉关系。公式的三项分别对应常数偏置、一阶特征贡献和二阶特征交叉贡献。</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注意力网络的输入由四部分拼接而成：[</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]。其中</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为用户历史行为序列中第</w:t>
      </w:r>
      <w:r>
        <w:rPr>
          <w:rFonts w:ascii="Times New Roman" w:hAnsi="Times New Roman" w:eastAsia="宋体"/>
          <w:i/>
          <w:sz w:val="24"/>
        </w:rPr>
        <w:t>i</w:t>
      </w:r>
      <w:r>
        <w:rPr>
          <w:rFonts w:ascii="Times New Roman" w:hAnsi="Times New Roman" w:eastAsia="宋体"/>
          <w:sz w:val="24"/>
        </w:rPr>
        <w:t>个商品的Embedding向量，表示用户曾经交互过的某个商品的特征表达；</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为当前候选商品的Embedding向量，表示待预测点击概率的目标商品的特征表达；</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为两个向量的逐元素差值，捕捉历史商品与候选商品之间的差异信息；⊙表示Hadamard积（逐元素乘法），</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捕捉两个向量在每个维度上的交互信息。四部分拼接后形成4</w:t>
      </w:r>
      <w:r>
        <w:rPr>
          <w:rFonts w:ascii="Times New Roman" w:hAnsi="Times New Roman" w:eastAsia="宋体"/>
          <w:i/>
          <w:sz w:val="24"/>
        </w:rPr>
        <w:t>d</w:t>
      </w:r>
      <w:r>
        <w:rPr>
          <w:rFonts w:ascii="Times New Roman" w:hAnsi="Times New Roman" w:eastAsia="宋体"/>
          <w:sz w:val="24"/>
        </w:rPr>
        <w:t>维输入向量（</w:t>
      </w:r>
      <w:r>
        <w:rPr>
          <w:rFonts w:ascii="Times New Roman" w:hAnsi="Times New Roman" w:eastAsia="宋体"/>
          <w:i/>
          <w:sz w:val="24"/>
        </w:rPr>
        <w:t>d</w:t>
      </w:r>
      <w:r>
        <w:rPr>
          <w:rFonts w:ascii="Times New Roman" w:hAnsi="Times New Roman" w:eastAsia="宋体"/>
          <w:sz w:val="24"/>
        </w:rPr>
        <w:t>为Embedding维度），经两层全连接网络（4</w:t>
      </w:r>
      <w:r>
        <w:rPr>
          <w:rFonts w:ascii="Times New Roman" w:hAnsi="Times New Roman" w:eastAsia="宋体"/>
          <w:i/>
          <w:sz w:val="24"/>
        </w:rPr>
        <w:t>d</w:t>
      </w:r>
      <w:r>
        <w:rPr>
          <w:rFonts w:ascii="Times New Roman" w:hAnsi="Times New Roman" w:eastAsia="宋体"/>
          <w:sz w:val="24"/>
        </w:rPr>
        <w:t>→64→1）输出一个标量注意力得分，表示历史商品</w:t>
      </w:r>
      <w:r>
        <w:rPr>
          <w:rFonts w:ascii="Times New Roman" w:hAnsi="Times New Roman" w:eastAsia="宋体"/>
          <w:i/>
          <w:sz w:val="24"/>
        </w:rPr>
        <w:t>i</w:t>
      </w:r>
      <w:r>
        <w:rPr>
          <w:rFonts w:ascii="Times New Roman" w:hAnsi="Times New Roman" w:eastAsia="宋体"/>
          <w:sz w:val="24"/>
        </w:rPr>
        <w:t>与候选商品的相关程度。</w:t>
      </w:r>
    </w:p>
    <w:p>
      <w:pPr>
        <w:ind w:firstLine="567"/>
      </w:pPr>
      <w:r>
        <w:rPr>
          <w:rFonts w:ascii="Times New Roman" w:hAnsi="Times New Roman" w:eastAsia="宋体"/>
          <w:sz w:val="24"/>
        </w:rPr>
        <w:t>最终，用户兴趣表达为所有历史商品Embedding的注意力加权和，不同候选商品对应不同的注意力权重分布，从而实现了用户兴趣的动态激活——模型能针对不同候选商品自适应地聚焦用户历史中最相关的行为，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其中eCPM为有效千次展示收入（单位：元/千次），</w:t>
      </w:r>
      <w:r>
        <w:rPr>
          <w:rFonts w:ascii="Times New Roman" w:hAnsi="Times New Roman" w:eastAsia="宋体"/>
          <w:i/>
          <w:sz w:val="24"/>
        </w:rPr>
        <w:t>bid</w:t>
      </w:r>
      <w:r>
        <w:rPr>
          <w:rFonts w:ascii="Times New Roman" w:hAnsi="Times New Roman" w:eastAsia="宋体"/>
          <w:sz w:val="24"/>
        </w:rPr>
        <w:t>为广告主设定的出价金额（CPC模式下为单次点击出价，CPM模式下为千次展示出价），</w:t>
      </w:r>
      <w:r>
        <w:rPr>
          <w:rFonts w:ascii="Times New Roman" w:hAnsi="Times New Roman" w:eastAsia="宋体"/>
          <w:i/>
          <w:sz w:val="24"/>
        </w:rPr>
        <w:t>pCTR</w:t>
      </w:r>
      <w:r>
        <w:rPr>
          <w:rFonts w:ascii="Times New Roman" w:hAnsi="Times New Roman" w:eastAsia="宋体"/>
          <w:sz w:val="24"/>
        </w:rPr>
        <w:t>为排序模型（DeepFM或DIN）对该广告预估的点击概率，取值范围为(0, 1)，1000为千次展示的换算系数。eCPM值越高，表示该广告在同等展示机会下的预期收入越高。</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其中</w:t>
      </w:r>
      <w:r>
        <w:rPr>
          <w:rFonts w:ascii="Times New Roman" w:hAnsi="Times New Roman" w:eastAsia="宋体"/>
          <w:i/>
          <w:sz w:val="24"/>
        </w:rPr>
        <w:t>charge</w:t>
      </w:r>
      <w:r>
        <w:rPr>
          <w:rFonts w:ascii="Times New Roman" w:hAnsi="Times New Roman" w:eastAsia="宋体"/>
          <w:sz w:val="24"/>
          <w:vertAlign w:val="subscript"/>
        </w:rPr>
        <w:t>CPC</w:t>
      </w:r>
      <w:r>
        <w:rPr>
          <w:rFonts w:ascii="Times New Roman" w:hAnsi="Times New Roman" w:eastAsia="宋体"/>
          <w:sz w:val="24"/>
        </w:rPr>
        <w:t>为本次点击的实际扣费金额，</w:t>
      </w:r>
      <w:r>
        <w:rPr>
          <w:rFonts w:ascii="Times New Roman" w:hAnsi="Times New Roman" w:eastAsia="宋体"/>
          <w:i/>
          <w:sz w:val="24"/>
        </w:rPr>
        <w:t>eCPM</w:t>
      </w:r>
      <w:r>
        <w:rPr>
          <w:rFonts w:ascii="Times New Roman" w:hAnsi="Times New Roman" w:eastAsia="宋体"/>
          <w:sz w:val="24"/>
          <w:vertAlign w:val="subscript"/>
        </w:rPr>
        <w:t>next</w:t>
      </w:r>
      <w:r>
        <w:rPr>
          <w:rFonts w:ascii="Times New Roman" w:hAnsi="Times New Roman" w:eastAsia="宋体"/>
          <w:sz w:val="24"/>
        </w:rPr>
        <w:t>为竞价排名中紧邻下一位广告的eCPM值，</w:t>
      </w:r>
      <w:r>
        <w:rPr>
          <w:rFonts w:ascii="Times New Roman" w:hAnsi="Times New Roman" w:eastAsia="宋体"/>
          <w:i/>
          <w:sz w:val="24"/>
        </w:rPr>
        <w:t>pCTR</w:t>
      </w:r>
      <w:r>
        <w:rPr>
          <w:rFonts w:ascii="Times New Roman" w:hAnsi="Times New Roman" w:eastAsia="宋体"/>
          <w:sz w:val="24"/>
          <w:vertAlign w:val="subscript"/>
        </w:rPr>
        <w:t>current</w:t>
      </w:r>
      <w:r>
        <w:rPr>
          <w:rFonts w:ascii="Times New Roman" w:hAnsi="Times New Roman" w:eastAsia="宋体"/>
          <w:sz w:val="24"/>
        </w:rPr>
        <w:t>为当前被点击广告的预估点击概率，0.01为最小扣费增量（单位：元），确保实际扣费略高于第二名的等效出价。</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其中</w:t>
      </w:r>
      <w:r>
        <w:rPr>
          <w:rFonts w:ascii="Times New Roman" w:hAnsi="Times New Roman" w:eastAsia="宋体"/>
          <w:i/>
          <w:sz w:val="24"/>
        </w:rPr>
        <w:t>decay</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)为时间衰减权重，取值范围为(0, 1]；</w:t>
      </w:r>
      <w:r>
        <w:rPr>
          <w:rFonts w:ascii="Times New Roman" w:hAnsi="Times New Roman" w:eastAsia="宋体"/>
          <w:i/>
          <w:sz w:val="24"/>
        </w:rPr>
        <w:t>t</w:t>
      </w:r>
      <w:r>
        <w:rPr>
          <w:rFonts w:ascii="Times New Roman" w:hAnsi="Times New Roman" w:eastAsia="宋体"/>
          <w:sz w:val="24"/>
        </w:rPr>
        <w:t>为行为发生距今的天数，</w:t>
      </w:r>
      <w:r>
        <w:rPr>
          <w:rFonts w:ascii="Times New Roman" w:hAnsi="Times New Roman" w:eastAsia="宋体"/>
          <w:i/>
          <w:sz w:val="24"/>
        </w:rPr>
        <w:t>t</w:t>
      </w:r>
      <w:r>
        <w:rPr>
          <w:rFonts w:ascii="Times New Roman" w:hAnsi="Times New Roman" w:eastAsia="宋体"/>
          <w:sz w:val="24"/>
        </w:rPr>
        <w:t>=0表示今天发生的行为；</w:t>
      </w:r>
      <w:r>
        <w:rPr>
          <w:rFonts w:ascii="Times New Roman" w:hAnsi="Times New Roman" w:eastAsia="宋体"/>
          <w:i/>
          <w:sz w:val="24"/>
        </w:rPr>
        <w:t>e</w:t>
      </w:r>
      <w:r>
        <w:rPr>
          <w:rFonts w:ascii="Times New Roman" w:hAnsi="Times New Roman" w:eastAsia="宋体"/>
          <w:sz w:val="24"/>
        </w:rPr>
        <w:t>为自然常数（约2.718）；</w:t>
      </w:r>
      <w:r>
        <w:rPr>
          <w:rFonts w:ascii="Times New Roman" w:hAnsi="Times New Roman" w:eastAsia="宋体"/>
          <w:i/>
          <w:sz w:val="24"/>
        </w:rPr>
        <w:t>λ</w:t>
      </w:r>
      <w:r>
        <w:rPr>
          <w:rFonts w:ascii="Times New Roman" w:hAnsi="Times New Roman" w:eastAsia="宋体"/>
          <w:sz w:val="24"/>
        </w:rPr>
        <w:t>为衰减率参数，控制权重下降的速度，本系统设置为0.1。在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数据需求</w:t>
      </w:r>
    </w:p>
    <w:p>
      <w:pPr>
        <w:ind w:firstLine="567"/>
      </w:pPr>
      <w:r>
        <w:rPr>
          <w:rFonts w:ascii="Times New Roman" w:hAnsi="Times New Roman" w:eastAsia="宋体"/>
          <w:sz w:val="24"/>
        </w:rPr>
        <w:t>数据是推荐引擎和活跃度引擎的核心驱动力，系统需要对多源异构数据进行采集、存储和处理，以支撑个性化推荐和差异化频控的实时计算。数据需求涵盖数据采集、数据存储和数据处理三个层面。</w:t>
      </w:r>
    </w:p>
    <w:p>
      <w:pPr>
        <w:ind w:firstLine="567"/>
      </w:pPr>
      <w:r>
        <w:rPr>
          <w:rFonts w:ascii="Times New Roman" w:hAnsi="Times New Roman" w:eastAsia="宋体"/>
          <w:sz w:val="24"/>
        </w:rPr>
        <w:t>在数据采集方面，系统需要实时采集七种用户行为数据：浏览（view）、点击（click）、加购（cart）、购买（purchase）、评价（review）、搜索（search）和登录（login）。每条行为记录需包含用户ID、商品ID（搜索和登录可为空）、行为类型、上下文信息（来源页面、搜索词等）和精确时间戳。前端在关键交互节点自动触发行为上报，确保数据采集的实时性和完整性。社区行为数据（评价文本、评分、问答内容、点赞记录）同样需要结构化存储，供活跃度引擎读取。广告展示和点击事件需要独立记录，包含广告ID、用户ID、事件类型和时间戳，用于计费扣减和效果统计。</w:t>
      </w:r>
    </w:p>
    <w:p>
      <w:pPr>
        <w:ind w:firstLine="567"/>
      </w:pPr>
      <w:r>
        <w:rPr>
          <w:rFonts w:ascii="Times New Roman" w:hAnsi="Times New Roman" w:eastAsia="宋体"/>
          <w:sz w:val="24"/>
        </w:rPr>
        <w:t>在数据存储方面，系统需要支持结构化数据和实时计数两种存储模式。结构化数据（用户信息、商品信息、订单记录、行为日志、社区内容、广告配置）使用关系型数据库持久化存储，保证数据一致性和事务完整性。实时计数数据（用户今日广告展示次数、上次展示时间戳）使用内存数据库存储，满足频控组件对读写性能的高要求。行为日志表作为系统的数据中枢，需要支持按用户ID和时间范围进行高效查询，以满足活跃度引擎和推荐引擎的实时读取需求。</w:t>
      </w:r>
    </w:p>
    <w:p>
      <w:pPr>
        <w:ind w:firstLine="567"/>
      </w:pPr>
      <w:r>
        <w:rPr>
          <w:rFonts w:ascii="Times New Roman" w:hAnsi="Times New Roman" w:eastAsia="宋体"/>
          <w:sz w:val="24"/>
        </w:rPr>
        <w:t>在数据处理方面，系统需要对原始行为数据进行多层次的加工转换。第一层为特征构建：将用户的行为序列转换为用户-商品评分矩阵（供协同过滤使用），将商品标签文本转换为TF-IDF向量（供内容推荐使用），将用户ID和商品ID映射为Embedding向量（供深度模型使用）。第二层为评分计算：遍历用户近30天的行为记录，按行为权重和时间衰减因子加权累加，得到0到100之间的活跃度评分。第三层为等级划分：将连续的活跃度评分离散化为高、普通、低三个等级，映射到频控策略矩阵的对应参数行。整个数据处理流程的设计需要保证端到端的实时性，从用户行为发生到影响广告展示策略的延迟应控制在秒级。</w:t>
      </w:r>
    </w:p>
    <w:p>
      <w:pPr>
        <w:pStyle w:val="Heading2"/>
      </w:pPr>
      <w:r>
        <w:rPr>
          <w:rFonts w:ascii="宋体" w:hAnsi="宋体" w:eastAsia="宋体"/>
          <w:b/>
          <w:color w:val="000000"/>
          <w:sz w:val="28"/>
        </w:rPr>
        <w:t>3.8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广告频控流程图</w:t>
      </w:r>
    </w:p>
    <w:p>
      <w:pPr>
        <w:pStyle w:val="Heading2"/>
      </w:pPr>
      <w:r>
        <w:rPr>
          <w:rFonts w:ascii="宋体" w:hAnsi="宋体" w:eastAsia="宋体"/>
          <w:b/>
          <w:color w:val="000000"/>
          <w:sz w:val="28"/>
        </w:rPr>
        <w:t>4.4 数据处理流程设计</w:t>
      </w:r>
    </w:p>
    <w:p>
      <w:pPr>
        <w:ind w:firstLine="567"/>
      </w:pPr>
      <w:r>
        <w:rPr>
          <w:rFonts w:ascii="Times New Roman" w:hAnsi="Times New Roman" w:eastAsia="宋体"/>
          <w:sz w:val="24"/>
        </w:rPr>
        <w:t>根据第3章数据需求分析，系统需要将多源异构的原始数据加工为推荐引擎和活跃度引擎可用的特征和评分。数据处理流程分为数据采集、特征构建、评分计算和策略映射四个阶段，整体流程如图4-5所示。</w:t>
      </w:r>
    </w:p>
    <w:p>
      <w:pPr>
        <w:ind w:firstLine="567"/>
      </w:pPr>
      <w:r>
        <w:rPr>
          <w:rFonts w:ascii="Times New Roman" w:hAnsi="Times New Roman" w:eastAsia="宋体"/>
          <w:sz w:val="24"/>
        </w:rPr>
        <w:t>第一阶段为数据采集。前端在用户的关键交互节点（浏览商品、搜索、加购、下单、评价、问答、点赞）自动调用行为追踪接口POST /api/behavior/track，将行为类型、商品ID、上下文信息和时间戳写入user_behaviors表。广告展示和点击事件通过POST /api/ads/impression接口独立记录到ad_impressions表。两张日志表构成系统的原始数据源。</w:t>
      </w:r>
    </w:p>
    <w:p>
      <w:pPr>
        <w:ind w:firstLine="567"/>
      </w:pPr>
      <w:r>
        <w:rPr>
          <w:rFonts w:ascii="Times New Roman" w:hAnsi="Times New Roman" w:eastAsia="宋体"/>
          <w:sz w:val="24"/>
        </w:rPr>
        <w:t>第二阶段为特征构建。推荐引擎从user_behaviors表中提取用户-商品交互记录，构建用户-商品评分矩阵（浏览记1分、购买记5分），供UserCF和ItemCF计算相似度矩阵。Content-Based模块从products表读取商品标签字段，通过TF-IDF向量化生成商品特征矩阵。ALS模块对评分矩阵进行NMF分解，生成用户隐因子矩阵和商品隐因子矩阵。DeepFM和DIN模块将用户ID、商品ID和品类ID映射为低维Embedding向量，作为深度模型的输入特征。</w:t>
      </w:r>
    </w:p>
    <w:p>
      <w:pPr>
        <w:ind w:firstLine="567"/>
      </w:pPr>
      <w:r>
        <w:rPr>
          <w:rFonts w:ascii="Times New Roman" w:hAnsi="Times New Roman" w:eastAsia="宋体"/>
          <w:sz w:val="24"/>
        </w:rPr>
        <w:t>第三阶段为评分计算。活跃度引擎从user_behaviors表中读取目标用户近30天的全部行为记录，按公式（2-6）对每条记录取行为权重乘以时间衰减因子并累加，得到0到100之间的活跃度评分。推荐引擎的排序层将召回候选集送入DeepFM和DIN模型，为每个用户-商品对独立预测点击概率pCTR，作为后续eCPM竞价和推荐排序的核心依据。</w:t>
      </w:r>
    </w:p>
    <w:p>
      <w:pPr>
        <w:ind w:firstLine="567"/>
      </w:pPr>
      <w:r>
        <w:rPr>
          <w:rFonts w:ascii="Times New Roman" w:hAnsi="Times New Roman" w:eastAsia="宋体"/>
          <w:sz w:val="24"/>
        </w:rPr>
        <w:t>第四阶段为策略映射。活跃度评分通过classify_activity_level函数离散化为高活跃（≥60分）、普通（20~60分）和低活跃（&lt;20分）三个等级，等级直接索引频控策略矩阵中的对应参数行（每页广告数、最小展示间隔、每日上限），驱动后续的广告展示决策。从原始行为产生到策略生效的全链路延迟控制在秒级，确保频控策略能够及时响应用户行为的变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数据处理流程图</w:t>
      </w:r>
    </w:p>
    <w:p>
      <w:pPr>
        <w:pStyle w:val="Heading2"/>
      </w:pPr>
      <w:r>
        <w:rPr>
          <w:rFonts w:ascii="宋体" w:hAnsi="宋体" w:eastAsia="宋体"/>
          <w:b/>
          <w:color w:val="000000"/>
          <w:sz w:val="28"/>
        </w:rPr>
        <w:t>4.5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4.6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4.7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4.8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ind w:firstLine="567"/>
      </w:pPr>
      <w:r>
        <w:rPr>
          <w:rFonts w:ascii="Times New Roman" w:hAnsi="Times New Roman" w:eastAsia="宋体"/>
          <w:sz w:val="24"/>
        </w:rPr>
        <w:t>推荐引擎的核心类结构如图5-2所示，整个引擎围绕RecommendationPipeline类进行顶层编排，由召回层、排序层和重排层三组类协同完成推荐任务。召回层包含UserCF、ItemCF、ContentBased、ALSModel和HotRecall五个类，每个类均实现fit和recommend方法（HotRecall仅实现recommend），分别负责模型训练和候选集生成。排序层包含DeepFMModel和DINModel两个PyTorch模型类，各自实现forward和predict方法，分别用于模型前向传播和批量预测打分。重排层通过mmr_rerank函数实现多样性控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推荐引擎核心类图</w:t>
      </w:r>
    </w:p>
    <w:p>
      <w:pPr>
        <w:ind w:firstLine="567"/>
      </w:pPr>
      <w:r>
        <w:rPr>
          <w:rFonts w:ascii="Times New Roman" w:hAnsi="Times New Roman" w:eastAsia="宋体"/>
          <w:sz w:val="24"/>
        </w:rPr>
        <w:t>从类间依赖关系来看，RecommendationPipeline持有所有召回类和排序类的实例引用，在run方法中依次调用各召回类的recommend方法获取候选集，再调用排序类的predict方法进行精排打分，最后调用mmr_rerank函数完成多样性重排。这种分层解耦的设计使得每个召回策略和排序模型可以独立开发、测试和替换，新增召回算法只需实现fit和recommend接口即可无缝集成到流水线中。</w:t>
      </w:r>
    </w:p>
    <w:p>
      <w:pPr>
        <w:ind w:firstLine="567"/>
      </w:pPr>
      <w:r>
        <w:rPr>
          <w:rFonts w:ascii="Times New Roman" w:hAnsi="Times New Roman" w:eastAsia="宋体"/>
          <w:sz w:val="24"/>
        </w:rPr>
        <w:t>个性化推荐请求的完整处理时序如图5-3所示，展示了从前端发起请求到返回推荐结果的全过程函数调用链路。该时序图详细描述了推荐流水线内部各组件的调用顺序和数据流转过程，帮助理解系统在处理单次推荐请求时的运行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图5-3 个性化推荐请求时序图</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ind w:firstLine="567"/>
      </w:pPr>
      <w:r>
        <w:rPr>
          <w:rFonts w:ascii="Times New Roman" w:hAnsi="Times New Roman" w:eastAsia="宋体"/>
          <w:sz w:val="24"/>
        </w:rPr>
        <w:t>广告引擎的核心类结构如图5-4所示，以AdService类为入口统一编排广告投放的全部流程。AdService通过fetch_ads_for_user方法对外提供服务，内部依赖ActivityScorer、FrequencyController和Bidding三个组件类分别完成活跃度评估、频控决策和竞价排序。ActivityScorer类负责用户活跃度的量化计算，提供calculate_activity_score和classify_activity_level两个核心方法。FrequencyController类封装频控判断逻辑，其check方法根据用户活跃度等级查找对应的FrequencyPolicy数据对象，该对象以dataclass形式定义了ads_per_page、min_interval_sec和daily_cap三项频控参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图5-4 广告引擎类图</w:t>
      </w:r>
    </w:p>
    <w:p>
      <w:pPr>
        <w:ind w:firstLine="567"/>
      </w:pPr>
      <w:r>
        <w:rPr>
          <w:rFonts w:ascii="Times New Roman" w:hAnsi="Times New Roman" w:eastAsia="宋体"/>
          <w:sz w:val="24"/>
        </w:rPr>
        <w:t>从依赖关系来看，AdService处于调用链的顶层，依次调用ActivityScorer获取用户活跃度等级，调用FrequencyController获取频控决策结果，最后调用Bidding模块的compute_ecpm和rank_ads_by_ecpm方法完成广告竞价排序。Billing类独立于投放流程，在广告被实际展示或点击后由计费定时任务调用，通过calculate_cpc_charge和calculate_cpm_charge方法分别计算CPC和CPM两种计费模式下的扣费金额。这种职责分离的设计确保了投放决策和计费扣款两个流程互不干扰。</w:t>
      </w:r>
    </w:p>
    <w:p>
      <w:pPr>
        <w:ind w:firstLine="567"/>
      </w:pPr>
      <w:r>
        <w:rPr>
          <w:rFonts w:ascii="Times New Roman" w:hAnsi="Times New Roman" w:eastAsia="宋体"/>
          <w:sz w:val="24"/>
        </w:rPr>
        <w:t>广告获取接口的完整请求处理时序如图5-5所示，详细展示了GET /api/ads/fetch接口从接收请求到返回广告列表的全部函数调用过程。该时序图清晰呈现了活跃度引擎、频控组件和竞价排序三个子系统的协作关系，以及频控条件判断的两条分支路径。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图5-5 广告获取接口时序图</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ind w:firstLine="567"/>
      </w:pPr>
      <w:r>
        <w:rPr>
          <w:rFonts w:ascii="Times New Roman" w:hAnsi="Times New Roman" w:eastAsia="宋体"/>
          <w:sz w:val="24"/>
        </w:rPr>
        <w:t>行为追踪与活跃度反馈的完整数据闭环时序如图5-6所示，该时序图展示了从用户浏览商品触发行为上报，到行为数据被活跃度引擎消费并影响广告频控决策的全过程。整个闭环分为两个阶段：第一阶段是行为数据采集，前端在用户浏览商品时调用POST /api/behavior/track接口，经JWT身份验证后将行为记录写入数据库；第二阶段是数据消费与决策，当广告请求到达时，系统从数据库读取该用户的全部行为记录，依次通过calculate_activity_score计算活跃度评分、classify_activity_level划分活跃度等级、FrequencyController.check执行频控判断，最终根据活跃度等级决定广告的展示策略和数量。</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图5-6 行为追踪与活跃度反馈时序图</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