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2）商家——管理自有商品、创建和管理广告（设置出价、预算、定向标签）、查看广告投放效果统计；（3）管理员——查看平台运营仪表盘、分析用户活跃度分布、监控广告投放效果。系统用例如图3-1所示。</w:t>
      </w:r>
    </w:p>
    <w:p>
      <w:pPr>
        <w:jc w:val="center"/>
      </w:pPr>
      <w:r>
        <w:drawing>
          <wp:inline xmlns:a="http://schemas.openxmlformats.org/drawingml/2006/main" xmlns:pic="http://schemas.openxmlformats.org/drawingml/2006/picture">
            <wp:extent cx="5029200" cy="2792150"/>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029200" cy="2792150"/>
                    </a:xfrm>
                    <a:prstGeom prst="rect"/>
                  </pic:spPr>
                </pic:pic>
              </a:graphicData>
            </a:graphic>
          </wp:inline>
        </w:drawing>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定义和索引设计见附录1。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推荐引擎详细设计</w:t>
      </w:r>
    </w:p>
    <w:p>
      <w:pPr>
        <w:pStyle w:val="Heading3"/>
        <w:ind w:firstLine="567"/>
      </w:pPr>
      <w:r>
        <w:rPr>
          <w:rFonts w:ascii="宋体" w:hAnsi="宋体" w:eastAsia="宋体"/>
          <w:b/>
          <w:color w:val="000000"/>
          <w:sz w:val="24"/>
        </w:rPr>
        <w:t>4.1.1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4.1.2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4.1.3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4.1.4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4.1.5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4.1.6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4.1.7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召回层位于app/recommendation/recall包下，五种算法被分别封装为独立类，统一对外暴露fit(训练)和recommend(为指定用户返回Top-N候选)两个方法，由RecommendationPipeline并行调用并合并结果。</w:t>
      </w:r>
    </w:p>
    <w:p>
      <w:pPr>
        <w:ind w:firstLine="567"/>
      </w:pPr>
      <w:r>
        <w:rPr>
          <w:rFonts w:ascii="Times New Roman" w:hAnsi="Times New Roman" w:eastAsia="宋体"/>
          <w:sz w:val="24"/>
        </w:rPr>
        <w:t>UserCF类（user_cf.py）维护user_sim_matrix和interaction_matrix两个成员；fit方法调用sklearn.metrics.pairwise.cosine_similarity对交互矩阵直接求余弦相似度，再用np.fill_diagonal将对角线置零以排除用户与自身的相似度；recommend方法以矩阵乘法sim_scores @ interaction_matrix一步完成相似用户的加权评分汇总，对exclude_interacted=True的位置赋-1过滤已交互商品，最后用np.argsort取Top-N。隐式评分采用浏览记1分、购买记5分的策略在Pipeline构建交互矩阵时统一处理。</w:t>
      </w:r>
    </w:p>
    <w:p>
      <w:pPr>
        <w:ind w:firstLine="567"/>
      </w:pPr>
      <w:r>
        <w:rPr>
          <w:rFonts w:ascii="Times New Roman" w:hAnsi="Times New Roman" w:eastAsia="宋体"/>
          <w:sz w:val="24"/>
        </w:rPr>
        <w:t>ItemCF类（item_cf.py）的成员和方法与UserCF对称，区别在于fit方法对interaction_matrix.T(转置)调用cosine_similarity得到item_sim_matrix；recommend方法以user_ratings @ item_sim_matrix计算每个商品的推荐分。</w:t>
      </w:r>
    </w:p>
    <w:p>
      <w:pPr>
        <w:ind w:firstLine="567"/>
      </w:pPr>
      <w:r>
        <w:rPr>
          <w:rFonts w:ascii="Times New Roman" w:hAnsi="Times New Roman" w:eastAsia="宋体"/>
          <w:sz w:val="24"/>
        </w:rPr>
        <w:t>ContentBasedRecall类（content_based.py）处理商品文本特征：fit方法用sklearn.feature_extraction.text.TfidfVectorizer对商品标签和描述拼接文本进行向量化得到tfidf_matrix，再用cosine_similarity求商品-商品相似度矩阵sim_matrix，文本为空时捕获ValueError并将sim_matrix置None；recommend方法接收用户喜好商品索引列表liked_indices，用np.mean(sim_matrix[liked_indices], axis=0)取多个喜好商品的平均相似度作为推荐分，并对exclude_indices中的商品赋-1过滤，主要服务于商品冷启动。</w:t>
      </w:r>
    </w:p>
    <w:p>
      <w:pPr>
        <w:ind w:firstLine="567"/>
      </w:pPr>
      <w:r>
        <w:rPr>
          <w:rFonts w:ascii="Times New Roman" w:hAnsi="Times New Roman" w:eastAsia="宋体"/>
          <w:sz w:val="24"/>
        </w:rPr>
        <w:t>ALSRecall类（als.py）实现矩阵分解：fit方法使用sklearn.decomposition.NMF（n_components=10，max_iter=200，init="random"）将interaction_matrix分解为user_factors（用户隐因子）和item_factors（物品隐因子，由components_.T取得）；recommend方法通过内积user_factors[user_idx] @ item_factors.T预测用户对所有商品的偏好分。隐因子维度通过min(self.n_components, min(matrix.shape))做保护，防止用户数或商品数过少时维度溢出。</w:t>
      </w:r>
    </w:p>
    <w:p>
      <w:pPr>
        <w:ind w:firstLine="567"/>
      </w:pPr>
      <w:r>
        <w:rPr>
          <w:rFonts w:ascii="Times New Roman" w:hAnsi="Times New Roman" w:eastAsia="宋体"/>
          <w:sz w:val="24"/>
        </w:rPr>
        <w:t>HotRecall类（hot.py）用于冷启动兜底：update方法接收商品ID到热度分数的字典product_scores并直接覆盖；recommend方法使用sorted按分数降序排列、并通过exclude_ids集合过滤已排除商品，返回前n个商品ID。Pipeline将各商品的浏览量与销量加权后写入update。</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排序层位于app/recommendation/ranking包下，DeepFM和DIN两个模型均提供PyTorch实现，并通过try-import torch降级为同接口的Numpy推理版本，保证在无GPU/PyTorch依赖的环境下仍可运行。</w:t>
      </w:r>
    </w:p>
    <w:p>
      <w:pPr>
        <w:ind w:firstLine="567"/>
      </w:pPr>
      <w:r>
        <w:rPr>
          <w:rFonts w:ascii="Times New Roman" w:hAnsi="Times New Roman" w:eastAsia="宋体"/>
          <w:sz w:val="24"/>
        </w:rPr>
        <w:t>DeepFM类（deepfm.py）构造时按sparse_field_dims列表依次创建nn.Embedding并放入nn.ModuleList得到embeddings，按公式dnn_input_dim = num_fields × embed_dim + dense_dim构建DNN：每个隐藏层为nn.Linear+nn.ReLU+nn.Dropout(0.2)三元组，最后一层为单输出Linear，整体封装在nn.Sequential里。FMLayer类的forward方法是FM分支的核心，实现 0.5·[(Σvᵢ)²−Σvᵢ²] 公式：embeddings.sum(dim=1).pow(2)计算sum_square，embeddings.pow(2).sum(dim=1)计算square_sum，二者之差再沿特征维求和。DeepFM.forward方法对sparse_input逐域调用embeddings[i]查表后用torch.stack拼成(batch, fields, dim)的三维张量，FM分支调用fm层，DNN分支将该张量reshape为二维并torch.cat上dense_input，两路输出相加后送入output_layer (nn.Sigmoid)得到pCTR。</w:t>
      </w:r>
    </w:p>
    <w:p>
      <w:pPr>
        <w:ind w:firstLine="567"/>
      </w:pPr>
      <w:r>
        <w:rPr>
          <w:rFonts w:ascii="Times New Roman" w:hAnsi="Times New Roman" w:eastAsia="宋体"/>
          <w:sz w:val="24"/>
        </w:rPr>
        <w:t>DIN类（din.py）以nn.Embedding(num_products, embed_dim)作为product_embedding供候选商品和行为序列共享。AttentionLayer类的forward方法将queries扩展为与keys同维后，用torch.cat拼接[queries, keys, queries-keys, queries*keys]四元组送入两层全连接attn（embed_dim*4→64→1），用masked_fill把无效位置置为负无穷再softmax得到注意力权重，最后用torch.bmm加权求和得到用户兴趣表示。DIN.forward方法用torch.arange &lt; seq_lengths.unsqueeze(1)构造序列mask，将注意力输出与候选嵌入拼接后送入DNN（结构与DeepFM的DNN相同）并经Sigmoid得到pCTR。</w:t>
      </w:r>
    </w:p>
    <w:p>
      <w:pPr>
        <w:ind w:firstLine="567"/>
      </w:pPr>
      <w:r>
        <w:rPr>
          <w:rFonts w:ascii="Times New Roman" w:hAnsi="Times New Roman" w:eastAsia="宋体"/>
          <w:sz w:val="24"/>
        </w:rPr>
        <w:t>Numpy降级版本（HAS_TORCH=False分支）保持相同__init__与predict签名：在DeepFM中以np.random.RandomState(42)初始化embed_tables和DNN的weights/biases，predict内部用 0.5*(sum_sq-sq_sum) 复现FM分支、用np.maximum(0, x@w+b)逐层ReLU前向；在DIN中用简化的点积注意力(seq_embed * cand_exp).sum(axis=2)替代神经网络注意力，配合np.where和exp归一化完成softmax。</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重排层位于app/recommendation/rerank包下，由mmr_rerank和apply_business_rules两个纯函数构成，被RecommendationPipeline.recommend方法依次调用。</w:t>
      </w:r>
    </w:p>
    <w:p>
      <w:pPr>
        <w:ind w:firstLine="567"/>
      </w:pPr>
      <w:r>
        <w:rPr>
          <w:rFonts w:ascii="Times New Roman" w:hAnsi="Times New Roman" w:eastAsia="宋体"/>
          <w:sz w:val="24"/>
        </w:rPr>
        <w:t>mmr_rerank函数（diversity.py）接收带score和category字段的候选items列表、推荐数量n和权衡参数lambda_param（默认0.5）。函数先用items[0]初始化selected作为相关性最高的种子，然后循环：对remaining中的每一项计算relevance=item["score"]，max_sim=max(s∈selected中同category记1否则记0)，mmr_score=lambda_param·relevance−(1−lambda_param)·max_sim，选取best_score最高的候选，用remaining.pop(best_idx)移入selected。循环终止条件为len(selected) &gt;= n或remaining为空。</w:t>
      </w:r>
    </w:p>
    <w:p>
      <w:pPr>
        <w:ind w:firstLine="567"/>
      </w:pPr>
      <w:r>
        <w:rPr>
          <w:rFonts w:ascii="Times New Roman" w:hAnsi="Times New Roman" w:eastAsia="宋体"/>
          <w:sz w:val="24"/>
        </w:rPr>
        <w:t>apply_business_rules函数（rules.py）实现已购商品和已展示商品的过滤，函数体仅为一个列表推导式：item["id"]同时不在purchased_ids和shown_ids集合中才保留。集合查找的O(1)复杂度避免了在大候选集上的性能问题。短期已展示集合shown_ids由调用方从Redis的user:{uid}:ad_last相关key获取，已购集合purchased_ids从orders联表查询得到。</w:t>
      </w:r>
    </w:p>
    <w:p>
      <w:pPr>
        <w:ind w:firstLine="567"/>
      </w:pPr>
      <w:r>
        <w:rPr>
          <w:rFonts w:ascii="Times New Roman" w:hAnsi="Times New Roman" w:eastAsia="宋体"/>
          <w:sz w:val="24"/>
        </w:rPr>
        <w:t>RecommendationPipeline.recommend方法（pipeline.py）作为编排入口，串起前述所有组件：当_fitted为False或user_idx为None时直接调用self.hot.recommend走冷启动；否则用lambda列表并行调用self.user_cf.recommend和self.item_cf.recommend(均取n*3条作为粗召回)，用set.update合并去重，再用列表推导把每个候选包装为{"id": pid, "score": 1.0/(rank+1), "category": "default"}，依次送入apply_business_rules和mmr_rerank。若结果数少于n，再次调用self.hot.recommend并将其exclude_ids设为已选id集合与purchased_ids的并集，用于补足。广告混排逻辑不在推荐管线内部完成，而是在前端首页组件按"高活跃每3商品插1广告/低活跃密度更低"的规则将广告引擎返回的列表与推荐列表合并展示。</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前端架构设计</w:t>
      </w:r>
    </w:p>
    <w:p>
      <w:pPr>
        <w:ind w:firstLine="567"/>
      </w:pPr>
      <w:r>
        <w:rPr>
          <w:rFonts w:ascii="Times New Roman" w:hAnsi="Times New Roman" w:eastAsia="宋体"/>
          <w:sz w:val="24"/>
        </w:rPr>
        <w:t>前端采用Vue 3 Composition API + Pinia + Axios的技术架构，整体分为五层：根布局层（App.vue负责导航栏、搜索栏和页脚）、路由层（Vue Router管理10条路由并支持懒加载）、页面层（8个View组件对应不同业务场景）、复用组件层（ProductCard、AdBanner、ReviewSection、QASection、ActivityScore五个组件在多个页面中复用）、以及状态与API层（Pinia管理用户认证和购物车状态，Axios封装9组API模块并通过JWT拦截器自动注入认证令牌）。前端架构如图4-15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前端架构图</w:t>
      </w:r>
    </w:p>
    <w:p>
      <w:pPr>
        <w:ind w:firstLine="567"/>
      </w:pPr>
      <w:r>
        <w:rPr>
          <w:rFonts w:ascii="Times New Roman" w:hAnsi="Times New Roman" w:eastAsia="宋体"/>
          <w:sz w:val="24"/>
        </w:rPr>
        <w:t>各层间的依赖关系为：页面组件从API层获取数据、从状态层读写全局状态、渲染复用组件；复用组件内部也可直接调用API（如AdBanner自动上报展示事件、ReviewSection加载评价列表）。这种分层设计使得每个页面可以独立开发和懒加载，组件复用降低了代码冗余，状态集中管理保证了认证和购物车数据的全局一致性。</w:t>
      </w:r>
    </w:p>
    <w:p>
      <w:pPr>
        <w:pStyle w:val="Heading3"/>
        <w:ind w:firstLine="567"/>
      </w:pPr>
      <w:r>
        <w:rPr>
          <w:rFonts w:ascii="宋体" w:hAnsi="宋体" w:eastAsia="宋体"/>
          <w:b/>
          <w:color w:val="000000"/>
          <w:sz w:val="24"/>
        </w:rPr>
        <w:t>4.9.2 前端用户操作流程</w:t>
      </w:r>
    </w:p>
    <w:p>
      <w:pPr>
        <w:ind w:firstLine="567"/>
      </w:pPr>
      <w:r>
        <w:rPr>
          <w:rFonts w:ascii="Times New Roman" w:hAnsi="Times New Roman" w:eastAsia="宋体"/>
          <w:sz w:val="24"/>
        </w:rPr>
        <w:t>用户在系统中的操作流程如图4-16所示。用户首次访问时进入登录页面，认证成功后JWT令牌存入localStorage，后续所有API请求通过Axios拦截器自动携带令牌。首页同时加载推荐商品列表和频控过滤后的广告列表，按每3个商品穿插1条广告的规则混排展示。用户浏览商品详情时自动触发view行为上报，发表评价和点赞分别产生review（+5）和helpful（+2）行为记录，直接影响活跃度评分。购物车基于Pinia在客户端管理，结算时调用订单API创建订单并清空购物车。广告展示和点击事件实时上报至impression接口，前端在广告卡片进入可视区域时触发show上报，用户点击时触发click上报。</w:t>
      </w:r>
    </w:p>
    <w:p>
      <w:pPr>
        <w:jc w:val="center"/>
      </w:pPr>
      <w:r>
        <w:drawing>
          <wp:inline xmlns:a="http://schemas.openxmlformats.org/drawingml/2006/main" xmlns:pic="http://schemas.openxmlformats.org/drawingml/2006/picture">
            <wp:extent cx="3474720" cy="4167942"/>
            <wp:docPr id="2" name="Picture 2"/>
            <wp:cNvGraphicFramePr>
              <a:graphicFrameLocks noChangeAspect="1"/>
            </wp:cNvGraphicFramePr>
            <a:graphic>
              <a:graphicData uri="http://schemas.openxmlformats.org/drawingml/2006/picture">
                <pic:pic>
                  <pic:nvPicPr>
                    <pic:cNvPr id="0" name="userflow.png"/>
                    <pic:cNvPicPr/>
                  </pic:nvPicPr>
                  <pic:blipFill>
                    <a:blip r:embed="rId10"/>
                    <a:stretch>
                      <a:fillRect/>
                    </a:stretch>
                  </pic:blipFill>
                  <pic:spPr>
                    <a:xfrm>
                      <a:off x="0" y="0"/>
                      <a:ext cx="3474720" cy="4167942"/>
                    </a:xfrm>
                    <a:prstGeom prst="rect"/>
                  </pic:spPr>
                </pic:pic>
              </a:graphicData>
            </a:graphic>
          </wp:inline>
        </w:drawing>
      </w:r>
    </w:p>
    <w:p>
      <w:pPr>
        <w:jc w:val="center"/>
      </w:pPr>
      <w:r>
        <w:rPr>
          <w:rFonts w:ascii="宋体" w:hAnsi="宋体" w:eastAsia="宋体"/>
          <w:sz w:val="21"/>
        </w:rPr>
        <w:t>图4-16 前端用户操作流程图</w:t>
      </w:r>
    </w:p>
    <w:p>
      <w:pPr>
        <w:pStyle w:val="Heading3"/>
        <w:ind w:firstLine="567"/>
      </w:pPr>
      <w:r>
        <w:rPr>
          <w:rFonts w:ascii="宋体" w:hAnsi="宋体" w:eastAsia="宋体"/>
          <w:b/>
          <w:color w:val="000000"/>
          <w:sz w:val="24"/>
        </w:rPr>
        <w:t>4.9.3 广告混排展示设计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卡片与商品卡片保持一致的尺寸和布局，仅通过红色边框和"推广"角标区分，提升用户体验和广告点击率。</w:t>
      </w:r>
    </w:p>
    <w:p>
      <w:pPr>
        <w:pStyle w:val="Heading3"/>
        <w:ind w:firstLine="567"/>
      </w:pPr>
      <w:r>
        <w:rPr>
          <w:rFonts w:ascii="宋体" w:hAnsi="宋体" w:eastAsia="宋体"/>
          <w:b/>
          <w:color w:val="000000"/>
          <w:sz w:val="24"/>
        </w:rPr>
        <w:t>4.9.4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实验数据</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Amazon Reviews 2023 真实数据集（Health &amp; Personal Care）：624商品 / 853消费者 / 5026评价 / 12242行为 / 783订单</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pPr>
        <w:ind w:firstLine="567"/>
      </w:pPr>
      <w:r>
        <w:rPr>
          <w:rFonts w:ascii="Times New Roman" w:hAnsi="Times New Roman" w:eastAsia="宋体"/>
          <w:sz w:val="24"/>
        </w:rPr>
        <w:t>系统实验数据取自 Amazon Reviews 2023 真实数据集（Health &amp; Personal Care 品类），经采样得到624件商品、853名消费者及5026条真实评价。在该真实数据上，系统计算出的用户活跃度等级分布为高活跃79人、普通110人、低活跃664人，三个等级均有分布；端到端验证显示高活跃用户每页获取3条广告、低活跃用户每页仅获取1条广告，差异化频控策略按预期生效。</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数据库表结构</w:t>
      </w:r>
    </w:p>
    <w:p>
      <w:pPr>
        <w:pStyle w:val="Heading3"/>
        <w:ind w:firstLine="567"/>
      </w:pPr>
      <w:r>
        <w:rPr>
          <w:rFonts w:ascii="宋体" w:hAnsi="宋体" w:eastAsia="宋体"/>
          <w:b/>
          <w:color w:val="000000"/>
          <w:sz w:val="24"/>
        </w:rPr>
        <w:t>附1.1 用户表</w:t>
      </w:r>
    </w:p>
    <w:p>
      <w:pPr>
        <w:jc w:val="center"/>
      </w:pPr>
      <w:r>
        <w:rPr>
          <w:rFonts w:ascii="宋体" w:hAnsi="宋体" w:eastAsia="宋体"/>
          <w:sz w:val="21"/>
        </w:rPr>
        <w:t>表 附1-1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附1.2 商品分类表</w:t>
      </w:r>
    </w:p>
    <w:p>
      <w:pPr>
        <w:jc w:val="center"/>
      </w:pPr>
      <w:r>
        <w:rPr>
          <w:rFonts w:ascii="宋体" w:hAnsi="宋体" w:eastAsia="宋体"/>
          <w:sz w:val="21"/>
        </w:rPr>
        <w:t>表 附1-2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附1.3 商品表</w:t>
      </w:r>
    </w:p>
    <w:p>
      <w:pPr>
        <w:jc w:val="center"/>
      </w:pPr>
      <w:r>
        <w:rPr>
          <w:rFonts w:ascii="宋体" w:hAnsi="宋体" w:eastAsia="宋体"/>
          <w:sz w:val="21"/>
        </w:rPr>
        <w:t>表 附1-3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附1.4 订单表与订单明细表</w:t>
      </w:r>
    </w:p>
    <w:p>
      <w:pPr>
        <w:jc w:val="center"/>
      </w:pPr>
      <w:r>
        <w:rPr>
          <w:rFonts w:ascii="宋体" w:hAnsi="宋体" w:eastAsia="宋体"/>
          <w:sz w:val="21"/>
        </w:rPr>
        <w:t>表 附1-4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附1-5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附1.5 广告表</w:t>
      </w:r>
    </w:p>
    <w:p>
      <w:pPr>
        <w:jc w:val="center"/>
      </w:pPr>
      <w:r>
        <w:rPr>
          <w:rFonts w:ascii="宋体" w:hAnsi="宋体" w:eastAsia="宋体"/>
          <w:sz w:val="21"/>
        </w:rPr>
        <w:t>表 附1-6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附1.6 广告曝光记录表</w:t>
      </w:r>
    </w:p>
    <w:p>
      <w:pPr>
        <w:jc w:val="center"/>
      </w:pPr>
      <w:r>
        <w:rPr>
          <w:rFonts w:ascii="宋体" w:hAnsi="宋体" w:eastAsia="宋体"/>
          <w:sz w:val="21"/>
        </w:rPr>
        <w:t>表 附1-7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附1.7 商品评价表</w:t>
      </w:r>
    </w:p>
    <w:p>
      <w:pPr>
        <w:jc w:val="center"/>
      </w:pPr>
      <w:r>
        <w:rPr>
          <w:rFonts w:ascii="宋体" w:hAnsi="宋体" w:eastAsia="宋体"/>
          <w:sz w:val="21"/>
        </w:rPr>
        <w:t>表 附1-8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附1.8 商品问答表</w:t>
      </w:r>
    </w:p>
    <w:p>
      <w:pPr>
        <w:jc w:val="center"/>
      </w:pPr>
      <w:r>
        <w:rPr>
          <w:rFonts w:ascii="宋体" w:hAnsi="宋体" w:eastAsia="宋体"/>
          <w:sz w:val="21"/>
        </w:rPr>
        <w:t>表 附1-9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附1.9 用户行为日志表</w:t>
      </w:r>
    </w:p>
    <w:p>
      <w:pPr>
        <w:jc w:val="center"/>
      </w:pPr>
      <w:r>
        <w:rPr>
          <w:rFonts w:ascii="宋体" w:hAnsi="宋体" w:eastAsia="宋体"/>
          <w:sz w:val="21"/>
        </w:rPr>
        <w:t>表 附1-10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附1.10 索引设计</w:t>
      </w:r>
    </w:p>
    <w:p>
      <w:pPr>
        <w:jc w:val="center"/>
      </w:pPr>
      <w:r>
        <w:rPr>
          <w:rFonts w:ascii="宋体" w:hAnsi="宋体" w:eastAsia="宋体"/>
          <w:sz w:val="21"/>
        </w:rPr>
        <w:t>表 附1-11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r>
        <w:br w:type="page"/>
      </w:r>
    </w:p>
    <w:p>
      <w:pPr>
        <w:pStyle w:val="Heading1"/>
        <w:jc w:val="center"/>
      </w:pPr>
      <w:r>
        <w:rPr>
          <w:rFonts w:ascii="宋体" w:hAnsi="宋体" w:eastAsia="宋体"/>
          <w:b/>
          <w:color w:val="000000"/>
          <w:sz w:val="32"/>
        </w:rPr>
        <w:t>附录2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附录3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