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基于社区反馈的活跃度评分模型，融合电商行为（浏览、购买等）和社区行为（评价、问答、点赞）构建加权评分体系，通过时间衰减函数实现动态评估；4. 差异化广告频控机制，根据活跃度等级设计分级频控策略（每页广告数、展示间隔、每日上限），实现广告收入与用户留存的协同优化；5.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[13]研究了大数据在电商个性化推荐中的应用效果，王洪涛等[14]进一步探索了基于用户行为分析的推荐优化策略。刘海鸥等[15]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条行为对应的权重值（如购买为10、评价为5、浏览为1等），</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附图1 系统首页界面</w:t>
      </w:r>
    </w:p>
    <w:p>
      <w:pPr>
        <w:ind w:firstLine="567"/>
      </w:pPr>
      <w:r>
        <w:rPr>
          <w:rFonts w:ascii="Times New Roman" w:hAnsi="Times New Roman" w:eastAsia="宋体"/>
          <w:sz w:val="24"/>
        </w:rPr>
        <w:t>附图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附图2 商品详情页界面</w:t>
      </w:r>
    </w:p>
    <w:p>
      <w:pPr>
        <w:ind w:firstLine="567"/>
      </w:pPr>
      <w:r>
        <w:rPr>
          <w:rFonts w:ascii="Times New Roman" w:hAnsi="Times New Roman" w:eastAsia="宋体"/>
          <w:sz w:val="24"/>
        </w:rPr>
        <w:t>附图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附图3 用户个人中心——活跃度仪表盘</w:t>
      </w:r>
    </w:p>
    <w:p>
      <w:pPr>
        <w:ind w:firstLine="567"/>
      </w:pPr>
      <w:r>
        <w:rPr>
          <w:rFonts w:ascii="Times New Roman" w:hAnsi="Times New Roman" w:eastAsia="宋体"/>
          <w:sz w:val="24"/>
        </w:rPr>
        <w:t>附图3展示了用户个人中心页面，核心为活跃度仪表盘组件，以圆形进度条显示当前活跃度评分和对应等级（高活跃/普通/低活跃），下方标注当前用户的广告频率等级，使用户直观了解自己的平台参与程度。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附图4 管理后台数据分析界面</w:t>
      </w:r>
    </w:p>
    <w:p>
      <w:pPr>
        <w:ind w:firstLine="567"/>
      </w:pPr>
      <w:r>
        <w:rPr>
          <w:rFonts w:ascii="Times New Roman" w:hAnsi="Times New Roman" w:eastAsia="宋体"/>
          <w:sz w:val="24"/>
        </w:rPr>
        <w:t>附图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附图5 商家后台广告管理界面</w:t>
      </w:r>
    </w:p>
    <w:p>
      <w:pPr>
        <w:ind w:firstLine="567"/>
      </w:pPr>
      <w:r>
        <w:rPr>
          <w:rFonts w:ascii="Times New Roman" w:hAnsi="Times New Roman" w:eastAsia="宋体"/>
          <w:sz w:val="24"/>
        </w:rPr>
        <w:t>附图5展示了商家后台的广告管理页面，商家可在此创建新广告（设置标题、出价、日预算和总预算），并以表格形式查看已创建广告的标题、出价、消耗金额和投放状态（active/paused/exhausted）。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附图6 单元测试执行结果</w:t>
      </w:r>
    </w:p>
    <w:p>
      <w:pPr>
        <w:ind w:firstLine="567"/>
      </w:pPr>
      <w:r>
        <w:rPr>
          <w:rFonts w:ascii="Times New Roman" w:hAnsi="Times New Roman" w:eastAsia="宋体"/>
          <w:sz w:val="24"/>
        </w:rPr>
        <w:t>附图6展示了在终端执行pytest测试套件的输出结果，共77个测试用例，其中73个通过（PASSED）、4个跳过（SKIPPED）、0个失败。跳过的测试为PyTorch环境不可用导致的深度模型测试，已有numpy替代实现覆盖。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附图7 集成测试执行结果</w:t>
      </w:r>
    </w:p>
    <w:p>
      <w:pPr>
        <w:ind w:firstLine="567"/>
      </w:pPr>
      <w:r>
        <w:rPr>
          <w:rFonts w:ascii="Times New Roman" w:hAnsi="Times New Roman" w:eastAsia="宋体"/>
          <w:sz w:val="24"/>
        </w:rPr>
        <w:t>附图7展示了6个集成测试用例的执行结果，覆盖完整购买流程、社区互动流程、广告频控流程、活跃度更新、推荐API和管理后台数据接口等端到端测试场景，全部通过。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