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七章。第1章绪论，介绍课题的研究背景与意义，综述国内外研究现状，明确研究内容与目标。第2章相关技术与理论基础，详细阐述协同过滤、矩阵分解、DeepFM、DIN、eCPM竞价和时间衰减函数等核心技术原理。第3章需求分析，从电商业务、社区子系统、个性化推荐引擎、个性化广告频控、活跃度引擎和非功能需求六个维度进行需求分析，并专门阐述系统的个性化需求。第4章总体设计，设计系统的整体架构、模块划分、核心数据流、接口、数据库和安全方案。第5章详细设计与实现，阐述数据库设计、推荐引擎、广告系统、频控组件、活跃度引擎和前端界面的设计细节与实现过程。第6章系统测试与分析，制定测试方案并执行单元测试、集成测试和性能测试，分析测试结果。第7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的整体架构如图2-1所示，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ind w:firstLine="567"/>
      </w:pPr>
      <w:r>
        <w:rPr>
          <w:rFonts w:ascii="Times New Roman" w:hAnsi="Times New Roman" w:eastAsia="宋体"/>
          <w:sz w:val="24"/>
        </w:rPr>
        <w:t>本系统的技术选型综合考虑了开发效率、算法生态和部署便捷性三方面因素。后端选用Python语言，主要原因是Python拥有丰富的机器学习和数据处理库（scikit-learn、PyTorch、NumPy等），能够直接在业务代码中集成推荐算法，无需跨语言调用。Web框架选用FastAPI，其基于类型注解的自动参数校验和异步支持特性，既保证了接口开发效率，又提供了良好的运行时性能。数据访问层使用SQLAlchemy ORM，通过声明式模型定义实现数据库操作的对象化管理。各层次的具体技术选型如表2.1所示。</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pPr>
        <w:ind w:firstLine="567"/>
      </w:pPr>
      <w:r>
        <w:rPr>
          <w:rFonts w:ascii="Times New Roman" w:hAnsi="Times New Roman" w:eastAsia="宋体"/>
          <w:sz w:val="24"/>
        </w:rPr>
        <w:t>前端选用Vue 3框架配合TypeScript进行开发，利用Composition API实现组件逻辑的模块化组织，Pinia状态管理库统一管理用户登录状态、购物车数据和推荐结果等全局状态。UI组件库选用Element Plus，提供了表格、表单、对话框等常用交互组件，加速页面开发。数据可视化采用ECharts图表库，在管理后台中实现活跃度分布、广告效果排行等统计图表的动态渲染。</w:t>
      </w:r>
    </w:p>
    <w:p>
      <w:pPr>
        <w:ind w:firstLine="567"/>
      </w:pPr>
      <w:r>
        <w:rPr>
          <w:rFonts w:ascii="Times New Roman" w:hAnsi="Times New Roman" w:eastAsia="宋体"/>
          <w:sz w:val="24"/>
        </w:rPr>
        <w:t>数据存储采用SQLite关系型数据库作为主存储，其零配置、单文件的特性简化了开发和部署流程，适合本系统的学习演示定位。Redis作为辅助存储，用于广告展示计数器和频控状态的高速读写，避免频繁查询主数据库带来的性能开销。测试框架选用pytest，配合httpx异步HTTP客户端实现对FastAPI接口的集成测试，支持参数化测试和测试夹具复用。</w:t>
      </w:r>
    </w:p>
    <w:p>
      <w:r>
        <w:br w:type="page"/>
      </w:r>
    </w:p>
    <w:p>
      <w:pPr>
        <w:pStyle w:val="Heading1"/>
        <w:jc w:val="center"/>
      </w:pPr>
      <w:r>
        <w:rPr>
          <w:rFonts w:ascii="宋体" w:hAnsi="宋体" w:eastAsia="宋体"/>
          <w:b/>
          <w:color w:val="000000"/>
          <w:sz w:val="32"/>
        </w:rPr>
        <w:t>第3章 需求分析</w:t>
      </w:r>
    </w:p>
    <w:p>
      <w:pPr>
        <w:ind w:firstLine="567"/>
      </w:pPr>
      <w:r>
        <w:rPr>
          <w:rFonts w:ascii="Times New Roman" w:hAnsi="Times New Roman" w:eastAsia="宋体"/>
          <w:sz w:val="24"/>
        </w:rPr>
        <w:t>本章从功能需求和非功能需求两个维度对系统进行需求分析。系统的需求源于"基于社区数据反馈的电商广告推荐系统"这一核心命题，围绕三个关键目标展开：1. 在电商平台中嵌入社区子系统，产生可量化的用户活跃度数据；2. 构建多算法融合的个性化推荐引擎，同时服务于商品推荐和广告推荐；3. 基于社区反馈的活跃度数据驱动差异化广告频控，实现收入与留存的平衡。个性化是贯穿系统各模块的核心设计理念，体现在推荐结果因人而异、广告频率因人而异、内容排序因人而异三个层面。</w:t>
      </w:r>
    </w:p>
    <w:p>
      <w:pPr>
        <w:pStyle w:val="Heading2"/>
      </w:pPr>
      <w:r>
        <w:rPr>
          <w:rFonts w:ascii="宋体" w:hAnsi="宋体" w:eastAsia="宋体"/>
          <w:b/>
          <w:color w:val="000000"/>
          <w:sz w:val="28"/>
        </w:rPr>
        <w:t>3.1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2"/>
      </w:pPr>
      <w:r>
        <w:rPr>
          <w:rFonts w:ascii="宋体" w:hAnsi="宋体" w:eastAsia="宋体"/>
          <w:b/>
          <w:color w:val="000000"/>
          <w:sz w:val="28"/>
        </w:rPr>
        <w:t>3.2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2"/>
      </w:pPr>
      <w:r>
        <w:rPr>
          <w:rFonts w:ascii="宋体" w:hAnsi="宋体" w:eastAsia="宋体"/>
          <w:b/>
          <w:color w:val="000000"/>
          <w:sz w:val="28"/>
        </w:rPr>
        <w:t>3.3 个性化推荐引擎需求</w:t>
      </w:r>
    </w:p>
    <w:p>
      <w:pPr>
        <w:ind w:firstLine="567"/>
      </w:pPr>
      <w:r>
        <w:rPr>
          <w:rFonts w:ascii="Times New Roman" w:hAnsi="Times New Roman" w:eastAsia="宋体"/>
          <w:sz w:val="24"/>
        </w:rPr>
        <w:t>推荐引擎需要同时满足商品推荐和广告推荐两个场景的个性化需求。在商品推荐方面，首页推荐需根据每个用户各自的历史行为生成个性化推荐列表——不同用户看到的推荐结果完全不同，这是系统个性化能力的核心体现；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为每个用户-商品对精细打分，重排层控制多样性并执行业务规则过滤。广告候选集需经过eCPM竞价排序，与推荐商品混排展示时需遵循频控组件的展示约束。</w:t>
      </w:r>
    </w:p>
    <w:p>
      <w:pPr>
        <w:pStyle w:val="Heading2"/>
      </w:pPr>
      <w:r>
        <w:rPr>
          <w:rFonts w:ascii="宋体" w:hAnsi="宋体" w:eastAsia="宋体"/>
          <w:b/>
          <w:color w:val="000000"/>
          <w:sz w:val="28"/>
        </w:rPr>
        <w:t>3.4 个性化广告频控需求</w:t>
      </w:r>
    </w:p>
    <w:p>
      <w:pPr>
        <w:ind w:firstLine="567"/>
      </w:pPr>
      <w:r>
        <w:rPr>
          <w:rFonts w:ascii="Times New Roman" w:hAnsi="Times New Roman" w:eastAsia="宋体"/>
          <w:sz w:val="24"/>
        </w:rPr>
        <w:t>广告系统的核心需求是实现基于活跃度的个性化差异化频控——这是整个系统的创新所在。与传统"一刀切"的统一频控不同，本系统根据每个用户各自的活跃度等级实施个性化的广告展示策略，不同用户在同一页面上看到的广告数量和频率可能完全不同。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2"/>
      </w:pPr>
      <w:r>
        <w:rPr>
          <w:rFonts w:ascii="宋体" w:hAnsi="宋体" w:eastAsia="宋体"/>
          <w:b/>
          <w:color w:val="000000"/>
          <w:sz w:val="28"/>
        </w:rPr>
        <w:t>3.5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2"/>
      </w:pPr>
      <w:r>
        <w:rPr>
          <w:rFonts w:ascii="宋体" w:hAnsi="宋体" w:eastAsia="宋体"/>
          <w:b/>
          <w:color w:val="000000"/>
          <w:sz w:val="28"/>
        </w:rPr>
        <w:t>3.6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3.7 个性化需求分析</w:t>
      </w:r>
    </w:p>
    <w:p>
      <w:pPr>
        <w:ind w:firstLine="567"/>
      </w:pPr>
      <w:r>
        <w:rPr>
          <w:rFonts w:ascii="Times New Roman" w:hAnsi="Times New Roman" w:eastAsia="宋体"/>
          <w:sz w:val="24"/>
        </w:rPr>
        <w:t>个性化是本系统区别于传统电商广告平台的核心特征，贯穿推荐、广告和内容排序三个维度。本节从这三个维度系统阐述系统的个性化需求，明确"个性化"在本系统中的具体内涵和技术实现要求。</w:t>
      </w:r>
    </w:p>
    <w:p>
      <w:pPr>
        <w:ind w:firstLine="567"/>
      </w:pPr>
      <w:r>
        <w:rPr>
          <w:rFonts w:ascii="Times New Roman" w:hAnsi="Times New Roman" w:eastAsia="宋体"/>
          <w:sz w:val="24"/>
        </w:rPr>
        <w:t>第一，个性化商品推荐。系统要求为每个用户生成独立的推荐结果，而非向所有用户展示相同的商品列表。协同过滤算法通过分析用户的历史行为数据，发现与目标用户行为模式相似的用户群体或物品关联关系，从而为该用户筛选出最可能感兴趣的商品。UserCF为每个用户找到其专属的近邻用户集合，ItemCF基于该用户自身的交互历史发现相关物品，ALS矩阵分解为每个用户学习独立的隐因子向量——所有这些算法的核心都是围绕"该用户"的行为数据展开计算，确保推荐结果的个性化属性。新用户因缺乏行为数据而无法生成个性化推荐，系统以热门商品作为冷启动兜底，随着用户行为的积累逐步过渡到完全个性化的推荐模式。</w:t>
      </w:r>
    </w:p>
    <w:p>
      <w:pPr>
        <w:ind w:firstLine="567"/>
      </w:pPr>
      <w:r>
        <w:rPr>
          <w:rFonts w:ascii="Times New Roman" w:hAnsi="Times New Roman" w:eastAsia="宋体"/>
          <w:sz w:val="24"/>
        </w:rPr>
        <w:t>第二，个性化广告展示。传统广告系统对所有用户采用统一的展示频率上限，而本系统根据每个用户各自的活跃度评分动态调整广告展示策略。高活跃用户对平台有较强的粘性和容忍度，系统为其分配较高的广告密度（每页3条、每日50条上限）以最大化广告收入；低活跃用户对广告干扰更为敏感，系统为其大幅降低广告密度（每页1条、每日10条上限）以保护用户留存。这种差异化策略使得每个用户看到的广告数量与其自身的平台参与程度直接挂钩，实现了广告展示层面的个性化控制。</w:t>
      </w:r>
    </w:p>
    <w:p>
      <w:pPr>
        <w:ind w:firstLine="567"/>
      </w:pPr>
      <w:r>
        <w:rPr>
          <w:rFonts w:ascii="Times New Roman" w:hAnsi="Times New Roman" w:eastAsia="宋体"/>
          <w:sz w:val="24"/>
        </w:rPr>
        <w:t>第三，个性化内容排序。系统的排序层采用DeepFM和DIN深度学习模型，这两个模型的核心能力在于为每个用户-商品对独立预测点击概率，而非使用全局统一的排序规则。DeepFM通过用户特征与商品特征的交叉组合学习个性化的偏好模式，DIN通过注意力机制从用户的历史行为序列中动态提取与当前候选商品最相关的兴趣信号。同一组候选商品在不同用户面前的排序可能完全不同，因为模型针对每个用户的特征向量和行为序列独立计算预测分数。MMR重排算法在保持个性化相关性的同时引入多样性约束，避免推荐结果过度集中于少数品类，进一步提升用户的个性化浏览体验。</w:t>
      </w:r>
    </w:p>
    <w:p>
      <w:r>
        <w:br w:type="page"/>
      </w:r>
    </w:p>
    <w:p>
      <w:pPr>
        <w:pStyle w:val="Heading1"/>
        <w:jc w:val="center"/>
      </w:pPr>
      <w:r>
        <w:rPr>
          <w:rFonts w:ascii="宋体" w:hAnsi="宋体" w:eastAsia="宋体"/>
          <w:b/>
          <w:color w:val="000000"/>
          <w:sz w:val="32"/>
        </w:rPr>
        <w:t>第4章 总体设计</w:t>
      </w:r>
    </w:p>
    <w:p>
      <w:pPr>
        <w:pStyle w:val="Heading2"/>
      </w:pPr>
      <w:r>
        <w:rPr>
          <w:rFonts w:ascii="宋体" w:hAnsi="宋体" w:eastAsia="宋体"/>
          <w:b/>
          <w:color w:val="000000"/>
          <w:sz w:val="28"/>
        </w:rPr>
        <w:t>4.1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系统整体架构图</w:t>
      </w:r>
    </w:p>
    <w:p>
      <w:pPr>
        <w:pStyle w:val="Heading2"/>
      </w:pPr>
      <w:r>
        <w:rPr>
          <w:rFonts w:ascii="宋体" w:hAnsi="宋体" w:eastAsia="宋体"/>
          <w:b/>
          <w:color w:val="000000"/>
          <w:sz w:val="28"/>
        </w:rPr>
        <w:t>4.2 模块划分与职责</w:t>
      </w:r>
    </w:p>
    <w:p>
      <w:pPr>
        <w:ind w:firstLine="567"/>
      </w:pPr>
      <w:r>
        <w:rPr>
          <w:rFonts w:ascii="Times New Roman" w:hAnsi="Times New Roman" w:eastAsia="宋体"/>
          <w:sz w:val="24"/>
        </w:rPr>
        <w:t>根据系统需求分析的结果，将系统划分为六个核心模块，各模块职责明确、边界清晰，通过定义良好的接口进行协作。模块划分遵循高内聚低耦合的原则，使每个模块可以独立开发、测试和替换。各模块的核心职责如表4.1所示。</w:t>
      </w:r>
    </w:p>
    <w:p>
      <w:pPr>
        <w:jc w:val="center"/>
      </w:pPr>
      <w:r>
        <w:rPr>
          <w:rFonts w:ascii="宋体" w:hAnsi="宋体" w:eastAsia="宋体"/>
          <w:sz w:val="21"/>
        </w:rPr>
        <w:t>表 4.1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ind w:firstLine="567"/>
      </w:pPr>
      <w:r>
        <w:rPr>
          <w:rFonts w:ascii="Times New Roman" w:hAnsi="Times New Roman" w:eastAsia="宋体"/>
          <w:sz w:val="24"/>
        </w:rPr>
        <w:t>六个模块之间存在明确的数据依赖关系：电商模块和社区模块是数据生产者，用户的浏览、购买、评价、问答等行为统一写入行为日志表；活跃度引擎是数据消费者，从行为日志表中读取近期行为进行评分计算和等级划分；广告引擎依赖活跃度引擎的输出驱动频控决策，同时调用推荐引擎的排序模型获取广告的pCTR预估值用于eCPM计算；推荐引擎同样依赖行为日志表训练推荐模型，并将推荐结果和广告结果交给前端混排展示；数据分析模块从各模块的运行数据中汇总统计指标，为管理员提供系统运行状况的全局视图。</w:t>
      </w:r>
    </w:p>
    <w:p>
      <w:pPr>
        <w:pStyle w:val="Heading2"/>
      </w:pPr>
      <w:r>
        <w:rPr>
          <w:rFonts w:ascii="宋体" w:hAnsi="宋体" w:eastAsia="宋体"/>
          <w:b/>
          <w:color w:val="000000"/>
          <w:sz w:val="28"/>
        </w:rPr>
        <w:t>4.3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个性化推荐数据流。用户请求推荐→推荐引擎读取该用户的行为日志构建个性化画像→多路召回基于该用户的偏好生成候选集（数百个）→排序模型为该用户-商品对逐一精细打分（数十个）→重排层应用多样性和业务规则（十几个）→返回该用户专属的个性化推荐列表。</w:t>
      </w:r>
    </w:p>
    <w:p>
      <w:pPr>
        <w:ind w:firstLine="567"/>
      </w:pPr>
      <w:r>
        <w:rPr>
          <w:rFonts w:ascii="Times New Roman" w:hAnsi="Times New Roman" w:eastAsia="宋体"/>
          <w:sz w:val="24"/>
        </w:rPr>
        <w:t>2. 个性化广告投放数据流。页面请求→活跃度引擎计算该用户的个性化活跃度等级→频控组件根据该用户的等级+今日展示数+上次展示时间判断是否允许展示及展示数量→筛选候选广告→eCPM竞价排序→返回该用户个性化数量的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广告频控流程图</w:t>
      </w:r>
    </w:p>
    <w:p>
      <w:pPr>
        <w:pStyle w:val="Heading2"/>
      </w:pPr>
      <w:r>
        <w:rPr>
          <w:rFonts w:ascii="宋体" w:hAnsi="宋体" w:eastAsia="宋体"/>
          <w:b/>
          <w:color w:val="000000"/>
          <w:sz w:val="28"/>
        </w:rPr>
        <w:t>4.4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4.2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2"/>
      </w:pPr>
      <w:r>
        <w:rPr>
          <w:rFonts w:ascii="宋体" w:hAnsi="宋体" w:eastAsia="宋体"/>
          <w:b/>
          <w:color w:val="000000"/>
          <w:sz w:val="28"/>
        </w:rPr>
        <w:t>4.5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数据库E-R关系图</w:t>
      </w:r>
    </w:p>
    <w:p>
      <w:pPr>
        <w:pStyle w:val="Heading2"/>
      </w:pPr>
      <w:r>
        <w:rPr>
          <w:rFonts w:ascii="宋体" w:hAnsi="宋体" w:eastAsia="宋体"/>
          <w:b/>
          <w:color w:val="000000"/>
          <w:sz w:val="28"/>
        </w:rPr>
        <w:t>4.6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2"/>
      </w:pPr>
      <w:r>
        <w:rPr>
          <w:rFonts w:ascii="宋体" w:hAnsi="宋体" w:eastAsia="宋体"/>
          <w:b/>
          <w:color w:val="000000"/>
          <w:sz w:val="28"/>
        </w:rPr>
        <w:t>4.7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第5章 详细设计与实现</w:t>
      </w:r>
    </w:p>
    <w:p>
      <w:pPr>
        <w:pStyle w:val="Heading2"/>
      </w:pPr>
      <w:r>
        <w:rPr>
          <w:rFonts w:ascii="宋体" w:hAnsi="宋体" w:eastAsia="宋体"/>
          <w:b/>
          <w:color w:val="000000"/>
          <w:sz w:val="28"/>
        </w:rPr>
        <w:t>5.1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5.1.1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5.1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5.1.2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5.2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5.2 推荐引擎实现</w:t>
      </w:r>
    </w:p>
    <w:p>
      <w:pPr>
        <w:pStyle w:val="Heading3"/>
        <w:ind w:firstLine="567"/>
      </w:pPr>
      <w:r>
        <w:rPr>
          <w:rFonts w:ascii="宋体" w:hAnsi="宋体" w:eastAsia="宋体"/>
          <w:b/>
          <w:color w:val="000000"/>
          <w:sz w:val="24"/>
        </w:rPr>
        <w:t>5.2.1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5.2.2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5.2.3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5.2.4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ind w:firstLine="567"/>
      </w:pPr>
      <w:r>
        <w:rPr>
          <w:rFonts w:ascii="Times New Roman" w:hAnsi="Times New Roman" w:eastAsia="宋体"/>
          <w:sz w:val="24"/>
        </w:rPr>
        <w:t>推荐引擎的核心类结构如图5-2所示，整个引擎围绕RecommendationPipeline类进行顶层编排，由召回层、排序层和重排层三组类协同完成推荐任务。召回层包含UserCF、ItemCF、ContentBased、ALSModel和HotRecall五个类，每个类均实现fit和recommend方法（HotRecall仅实现recommend），分别负责模型训练和候选集生成。排序层包含DeepFMModel和DINModel两个PyTorch模型类，各自实现forward和predict方法，分别用于模型前向传播和批量预测打分。重排层通过mmr_rerank函数实现多样性控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图5-2 推荐引擎核心类图</w:t>
      </w:r>
    </w:p>
    <w:p>
      <w:pPr>
        <w:ind w:firstLine="567"/>
      </w:pPr>
      <w:r>
        <w:rPr>
          <w:rFonts w:ascii="Times New Roman" w:hAnsi="Times New Roman" w:eastAsia="宋体"/>
          <w:sz w:val="24"/>
        </w:rPr>
        <w:t>从类间依赖关系来看，RecommendationPipeline持有所有召回类和排序类的实例引用，在run方法中依次调用各召回类的recommend方法获取候选集，再调用排序类的predict方法进行精排打分，最后调用mmr_rerank函数完成多样性重排。这种分层解耦的设计使得每个召回策略和排序模型可以独立开发、测试和替换，新增召回算法只需实现fit和recommend接口即可无缝集成到流水线中。</w:t>
      </w:r>
    </w:p>
    <w:p>
      <w:pPr>
        <w:ind w:firstLine="567"/>
      </w:pPr>
      <w:r>
        <w:rPr>
          <w:rFonts w:ascii="Times New Roman" w:hAnsi="Times New Roman" w:eastAsia="宋体"/>
          <w:sz w:val="24"/>
        </w:rPr>
        <w:t>个性化推荐请求的完整处理时序如图5-3所示，展示了从前端发起请求到返回推荐结果的全过程函数调用链路。该时序图详细描述了推荐流水线内部各组件的调用顺序和数据流转过程，帮助理解系统在处理单次推荐请求时的运行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图5-3 个性化推荐请求时序图</w:t>
      </w:r>
    </w:p>
    <w:p>
      <w:pPr>
        <w:pStyle w:val="Heading2"/>
      </w:pPr>
      <w:r>
        <w:rPr>
          <w:rFonts w:ascii="宋体" w:hAnsi="宋体" w:eastAsia="宋体"/>
          <w:b/>
          <w:color w:val="000000"/>
          <w:sz w:val="28"/>
        </w:rPr>
        <w:t>5.3 广告系统实现</w:t>
      </w:r>
    </w:p>
    <w:p>
      <w:pPr>
        <w:pStyle w:val="Heading3"/>
        <w:ind w:firstLine="567"/>
      </w:pPr>
      <w:r>
        <w:rPr>
          <w:rFonts w:ascii="宋体" w:hAnsi="宋体" w:eastAsia="宋体"/>
          <w:b/>
          <w:color w:val="000000"/>
          <w:sz w:val="24"/>
        </w:rPr>
        <w:t>5.3.1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5.3.2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5.3.3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ind w:firstLine="567"/>
      </w:pPr>
      <w:r>
        <w:rPr>
          <w:rFonts w:ascii="Times New Roman" w:hAnsi="Times New Roman" w:eastAsia="宋体"/>
          <w:sz w:val="24"/>
        </w:rPr>
        <w:t>广告引擎的核心类结构如图5-4所示，以AdService类为入口统一编排广告投放的全部流程。AdService通过fetch_ads_for_user方法对外提供服务，内部依赖ActivityScorer、FrequencyController和Bidding三个组件类分别完成活跃度评估、频控决策和竞价排序。ActivityScorer类负责用户活跃度的量化计算，提供calculate_activity_score和classify_activity_level两个核心方法。FrequencyController类封装频控判断逻辑，其check方法根据用户活跃度等级查找对应的FrequencyPolicy数据对象，该对象以dataclass形式定义了ads_per_page、min_interval_sec和daily_cap三项频控参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图5-4 广告引擎类图</w:t>
      </w:r>
    </w:p>
    <w:p>
      <w:pPr>
        <w:ind w:firstLine="567"/>
      </w:pPr>
      <w:r>
        <w:rPr>
          <w:rFonts w:ascii="Times New Roman" w:hAnsi="Times New Roman" w:eastAsia="宋体"/>
          <w:sz w:val="24"/>
        </w:rPr>
        <w:t>从依赖关系来看，AdService处于调用链的顶层，依次调用ActivityScorer获取用户活跃度等级，调用FrequencyController获取频控决策结果，最后调用Bidding模块的compute_ecpm和rank_ads_by_ecpm方法完成广告竞价排序。Billing类独立于投放流程，在广告被实际展示或点击后由计费定时任务调用，通过calculate_cpc_charge和calculate_cpm_charge方法分别计算CPC和CPM两种计费模式下的扣费金额。这种职责分离的设计确保了投放决策和计费扣款两个流程互不干扰。</w:t>
      </w:r>
    </w:p>
    <w:p>
      <w:pPr>
        <w:ind w:firstLine="567"/>
      </w:pPr>
      <w:r>
        <w:rPr>
          <w:rFonts w:ascii="Times New Roman" w:hAnsi="Times New Roman" w:eastAsia="宋体"/>
          <w:sz w:val="24"/>
        </w:rPr>
        <w:t>广告获取接口的完整请求处理时序如图5-5所示，详细展示了GET /api/ads/fetch接口从接收请求到返回广告列表的全部函数调用过程。该时序图清晰呈现了活跃度引擎、频控组件和竞价排序三个子系统的协作关系，以及频控条件判断的两条分支路径。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图5-5 广告获取接口时序图</w:t>
      </w:r>
    </w:p>
    <w:p>
      <w:pPr>
        <w:pStyle w:val="Heading2"/>
      </w:pPr>
      <w:r>
        <w:rPr>
          <w:rFonts w:ascii="宋体" w:hAnsi="宋体" w:eastAsia="宋体"/>
          <w:b/>
          <w:color w:val="000000"/>
          <w:sz w:val="28"/>
        </w:rPr>
        <w:t>5.4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5.5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图5-1 活跃度评分流程图</w:t>
      </w:r>
    </w:p>
    <w:p>
      <w:pPr>
        <w:pStyle w:val="Heading2"/>
      </w:pPr>
      <w:r>
        <w:rPr>
          <w:rFonts w:ascii="宋体" w:hAnsi="宋体" w:eastAsia="宋体"/>
          <w:b/>
          <w:color w:val="000000"/>
          <w:sz w:val="28"/>
        </w:rPr>
        <w:t>5.6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5.6.1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5.6.2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ind w:firstLine="567"/>
      </w:pPr>
      <w:r>
        <w:rPr>
          <w:rFonts w:ascii="Times New Roman" w:hAnsi="Times New Roman" w:eastAsia="宋体"/>
          <w:sz w:val="24"/>
        </w:rPr>
        <w:t>行为追踪与活跃度反馈的完整数据闭环时序如图5-6所示，该时序图展示了从用户浏览商品触发行为上报，到行为数据被活跃度引擎消费并影响广告频控决策的全过程。整个闭环分为两个阶段：第一阶段是行为数据采集，前端在用户浏览商品时调用POST /api/behavior/track接口，经JWT身份验证后将行为记录写入数据库；第二阶段是数据消费与决策，当广告请求到达时，系统从数据库读取该用户的全部行为记录，依次通过calculate_activity_score计算活跃度评分、classify_activity_level划分活跃度等级、FrequencyController.check执行频控判断，最终根据活跃度等级决定广告的展示策略和数量。</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图5-6 行为追踪与活跃度反馈时序图</w:t>
      </w:r>
    </w:p>
    <w:p>
      <w:pPr>
        <w:pStyle w:val="Heading3"/>
        <w:ind w:firstLine="567"/>
      </w:pPr>
      <w:r>
        <w:rPr>
          <w:rFonts w:ascii="宋体" w:hAnsi="宋体" w:eastAsia="宋体"/>
          <w:b/>
          <w:color w:val="000000"/>
          <w:sz w:val="24"/>
        </w:rPr>
        <w:t>5.6.3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5.7 前端实现</w:t>
      </w:r>
    </w:p>
    <w:p>
      <w:pPr>
        <w:pStyle w:val="Heading3"/>
        <w:ind w:firstLine="567"/>
      </w:pPr>
      <w:r>
        <w:rPr>
          <w:rFonts w:ascii="宋体" w:hAnsi="宋体" w:eastAsia="宋体"/>
          <w:b/>
          <w:color w:val="000000"/>
          <w:sz w:val="24"/>
        </w:rPr>
        <w:t>5.7.1 页面架构</w:t>
      </w:r>
    </w:p>
    <w:p>
      <w:pPr>
        <w:ind w:firstLine="567"/>
      </w:pPr>
      <w:r>
        <w:rPr>
          <w:rFonts w:ascii="Times New Roman" w:hAnsi="Times New Roman" w:eastAsia="宋体"/>
          <w:sz w:val="24"/>
        </w:rPr>
        <w:t>前端共8个页面，按用户角色划分为四类。公共页面包括首页（推荐流加广告混排，界面效果见附录图A.1）、商品详情页（评价、问答、相似推荐和广告位，界面效果见附录图A.2）、搜索页（支持综合、销量和价格排序）以及登录和注册页面。消费者页面包括购物车（数量控制和结算功能）、订单列表和个人中心（包含活跃度仪表盘，以圆形进度条展示当前活跃度评分和等级，界面效果见附录图A.3）。商家页面为商家后台，提供广告创建和管理功能，支持设置出价、预算和定向标签（界面效果见附录图A.5）。管理员页面为管理后台，使用ECharts实现数据可视化，包含活跃度分布饼图、广告效果排行柱状图和频控策略效果对比图等数据分析图表（界面效果见附录图A.4）。</w:t>
      </w:r>
    </w:p>
    <w:p>
      <w:pPr>
        <w:pStyle w:val="Heading3"/>
        <w:ind w:firstLine="567"/>
      </w:pPr>
      <w:r>
        <w:rPr>
          <w:rFonts w:ascii="宋体" w:hAnsi="宋体" w:eastAsia="宋体"/>
          <w:b/>
          <w:color w:val="000000"/>
          <w:sz w:val="24"/>
        </w:rPr>
        <w:t>5.7.2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第6章 系统测试与分析</w:t>
      </w:r>
    </w:p>
    <w:p>
      <w:pPr>
        <w:pStyle w:val="Heading2"/>
      </w:pPr>
      <w:r>
        <w:rPr>
          <w:rFonts w:ascii="宋体" w:hAnsi="宋体" w:eastAsia="宋体"/>
          <w:b/>
          <w:color w:val="000000"/>
          <w:sz w:val="28"/>
        </w:rPr>
        <w:t>6.1 测试环境</w:t>
      </w:r>
    </w:p>
    <w:p>
      <w:pPr>
        <w:jc w:val="center"/>
      </w:pPr>
      <w:r>
        <w:rPr>
          <w:rFonts w:ascii="宋体" w:hAnsi="宋体" w:eastAsia="宋体"/>
          <w:sz w:val="21"/>
        </w:rPr>
        <w:t>表 6.1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6.2 单元测试</w:t>
      </w:r>
    </w:p>
    <w:p>
      <w:pPr>
        <w:pStyle w:val="Heading3"/>
        <w:ind w:firstLine="567"/>
      </w:pPr>
      <w:r>
        <w:rPr>
          <w:rFonts w:ascii="宋体" w:hAnsi="宋体" w:eastAsia="宋体"/>
          <w:b/>
          <w:color w:val="000000"/>
          <w:sz w:val="24"/>
        </w:rPr>
        <w:t>6.2.1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6.2.2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6.2.3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6.3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6.4 性能测试</w:t>
      </w:r>
    </w:p>
    <w:p>
      <w:pPr>
        <w:ind w:firstLine="567"/>
      </w:pPr>
      <w:r>
        <w:rPr>
          <w:rFonts w:ascii="Times New Roman" w:hAnsi="Times New Roman" w:eastAsia="宋体"/>
          <w:sz w:val="24"/>
        </w:rPr>
        <w:t>性能测试旨在验证系统核心接口的响应时间是否满足设计目标。测试方法为：在种子数据环境（1000件商品、100个用户、12000条行为记录）下，对每个接口连续发起10次请求，记录每次请求的响应时间，取平均值作为性能指标。测试过程中排除首次请求的冷启动时间（数据库连接建立、模型加载等），从第2次请求开始计时。</w:t>
      </w:r>
    </w:p>
    <w:p>
      <w:pPr>
        <w:pStyle w:val="Heading3"/>
        <w:ind w:firstLine="567"/>
      </w:pPr>
      <w:r>
        <w:rPr>
          <w:rFonts w:ascii="宋体" w:hAnsi="宋体" w:eastAsia="宋体"/>
          <w:b/>
          <w:color w:val="000000"/>
          <w:sz w:val="24"/>
        </w:rPr>
        <w:t>6.4.1 接口响应时间测试</w:t>
      </w:r>
    </w:p>
    <w:p>
      <w:pPr>
        <w:ind w:firstLine="567"/>
      </w:pPr>
      <w:r>
        <w:rPr>
          <w:rFonts w:ascii="Times New Roman" w:hAnsi="Times New Roman" w:eastAsia="宋体"/>
          <w:sz w:val="24"/>
        </w:rPr>
        <w:t>针对系统的六个核心接口进行响应时间测试，覆盖推荐、广告、商品、活跃度和社区五个功能模块。测试结果如表6.2所示，所有接口的平均响应时间均在设计目标范围内。</w:t>
      </w:r>
    </w:p>
    <w:p>
      <w:pPr>
        <w:jc w:val="center"/>
      </w:pPr>
      <w:r>
        <w:rPr>
          <w:rFonts w:ascii="宋体" w:hAnsi="宋体" w:eastAsia="宋体"/>
          <w:sz w:val="21"/>
        </w:rPr>
        <w:t>表 6.2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ind w:firstLine="567"/>
      </w:pPr>
      <w:r>
        <w:rPr>
          <w:rFonts w:ascii="Times New Roman" w:hAnsi="Times New Roman" w:eastAsia="宋体"/>
          <w:sz w:val="24"/>
        </w:rPr>
        <w:t>推荐接口的平均响应时间为387ms，是所有接口中耗时最长的，这是因为该接口需要串行执行多路召回、排序和重排三个阶段。广告获取接口的平均响应时间为156ms，其内部需要先计算用户活跃度再进行频控判断和eCPM排序，流程较为复杂但整体耗时仍在可接受范围内。行为追踪接口的响应时间最短，仅32ms，因为该接口只执行一次数据库写入操作，符合其作为前端埋点上报入口的低延迟要求。</w:t>
      </w:r>
    </w:p>
    <w:p>
      <w:pPr>
        <w:pStyle w:val="Heading3"/>
        <w:ind w:firstLine="567"/>
      </w:pPr>
      <w:r>
        <w:rPr>
          <w:rFonts w:ascii="宋体" w:hAnsi="宋体" w:eastAsia="宋体"/>
          <w:b/>
          <w:color w:val="000000"/>
          <w:sz w:val="24"/>
        </w:rPr>
        <w:t>6.4.2 活跃度计算性能测试</w:t>
      </w:r>
    </w:p>
    <w:p>
      <w:pPr>
        <w:ind w:firstLine="567"/>
      </w:pPr>
      <w:r>
        <w:rPr>
          <w:rFonts w:ascii="Times New Roman" w:hAnsi="Times New Roman" w:eastAsia="宋体"/>
          <w:sz w:val="24"/>
        </w:rPr>
        <w:t>活跃度计算涉及对用户全量行为记录的遍历和加权求和，其性能直接影响广告获取接口的响应时间。测试在不同行为记录数量下测量活跃度评分的计算耗时，评估系统在数据量增长时的性能表现。</w:t>
      </w:r>
    </w:p>
    <w:p>
      <w:pPr>
        <w:jc w:val="center"/>
      </w:pPr>
      <w:r>
        <w:rPr>
          <w:rFonts w:ascii="宋体" w:hAnsi="宋体" w:eastAsia="宋体"/>
          <w:sz w:val="21"/>
        </w:rPr>
        <w:t>表 6.3 活跃度计算性能（不同数据量）</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行为记录数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计算耗时</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备注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高活跃用户典型数据量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1000条</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&lt;80ms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极端活跃用户压力测试</w:t>
            </w:r>
          </w:p>
        </w:tc>
      </w:tr>
    </w:tbl>
    <w:p/>
    <w:p>
      <w:pPr>
        <w:ind w:firstLine="567"/>
      </w:pPr>
      <w:r>
        <w:rPr>
          <w:rFonts w:ascii="Times New Roman" w:hAnsi="Times New Roman" w:eastAsia="宋体"/>
          <w:sz w:val="24"/>
        </w:rPr>
        <w:t>测试结果显示，在典型数据量（50~500条行为记录）下，活跃度计算耗时均在35ms以内，对广告获取接口的整体响应时间影响较小。当行为记录数增长到1000条时，计算耗时上升至80ms左右，但仍在可接受范围内。若未来数据量进一步增大，可通过限制只读取近30天行为记录或引入Redis缓存评分结果来优化性能。</w:t>
      </w:r>
    </w:p>
    <w:p>
      <w:pPr>
        <w:pStyle w:val="Heading2"/>
      </w:pPr>
      <w:r>
        <w:rPr>
          <w:rFonts w:ascii="宋体" w:hAnsi="宋体" w:eastAsia="宋体"/>
          <w:b/>
          <w:color w:val="000000"/>
          <w:sz w:val="28"/>
        </w:rPr>
        <w:t>6.5 测试结果汇总</w:t>
      </w:r>
    </w:p>
    <w:p>
      <w:pPr>
        <w:jc w:val="center"/>
      </w:pPr>
      <w:r>
        <w:rPr>
          <w:rFonts w:ascii="宋体" w:hAnsi="宋体" w:eastAsia="宋体"/>
          <w:sz w:val="21"/>
        </w:rPr>
        <w:t>表 6.4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单元测试执行结果见附录图A.6，集成测试执行结果见附录图A.7）。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6.6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第7章 总结与展望</w:t>
      </w:r>
    </w:p>
    <w:p>
      <w:pPr>
        <w:pStyle w:val="Heading2"/>
      </w:pPr>
      <w:r>
        <w:rPr>
          <w:rFonts w:ascii="宋体" w:hAnsi="宋体" w:eastAsia="宋体"/>
          <w:b/>
          <w:color w:val="000000"/>
          <w:sz w:val="28"/>
        </w:rPr>
        <w:t>7.1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7.2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7.3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用户个人中心——活跃度仪表盘</w:t>
      </w:r>
    </w:p>
    <w:p>
      <w:pPr>
        <w:ind w:firstLine="567"/>
      </w:pPr>
      <w:r>
        <w:rPr>
          <w:rFonts w:ascii="Times New Roman" w:hAnsi="Times New Roman" w:eastAsia="宋体"/>
          <w:sz w:val="24"/>
        </w:rPr>
        <w:t>图A.3展示了用户个人中心页面，核心为活跃度仪表盘组件，以圆形进度条显示当前活跃度评分和对应等级（高活跃/普通/低活跃），下方标注当前用户的广告频率等级，使用户直观了解自己的平台参与程度。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管理后台数据分析界面</w:t>
      </w:r>
    </w:p>
    <w:p>
      <w:pPr>
        <w:ind w:firstLine="567"/>
      </w:pPr>
      <w:r>
        <w:rPr>
          <w:rFonts w:ascii="Times New Roman" w:hAnsi="Times New Roman" w:eastAsia="宋体"/>
          <w:sz w:val="24"/>
        </w:rPr>
        <w:t>图A.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商家后台广告管理界面</w:t>
      </w:r>
    </w:p>
    <w:p>
      <w:pPr>
        <w:ind w:firstLine="567"/>
      </w:pPr>
      <w:r>
        <w:rPr>
          <w:rFonts w:ascii="Times New Roman" w:hAnsi="Times New Roman" w:eastAsia="宋体"/>
          <w:sz w:val="24"/>
        </w:rPr>
        <w:t>图A.5展示了商家后台的广告管理页面，商家可在此创建新广告（设置标题、出价、日预算和总预算），并以表格形式查看已创建广告的标题、出价、消耗金额和投放状态（active/paused/exhausted）。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图A.6 单元测试执行结果</w:t>
      </w:r>
    </w:p>
    <w:p>
      <w:pPr>
        <w:ind w:firstLine="567"/>
      </w:pPr>
      <w:r>
        <w:rPr>
          <w:rFonts w:ascii="Times New Roman" w:hAnsi="Times New Roman" w:eastAsia="宋体"/>
          <w:sz w:val="24"/>
        </w:rPr>
        <w:t>图A.6展示了在终端执行pytest测试套件的输出结果，共77个测试用例，其中73个通过（PASSED）、4个跳过（SKIPPED）、0个失败。跳过的测试为PyTorch环境不可用导致的深度模型测试，已有numpy替代实现覆盖。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图A.7 集成测试执行结果</w:t>
      </w:r>
    </w:p>
    <w:p>
      <w:pPr>
        <w:ind w:firstLine="567"/>
      </w:pPr>
      <w:r>
        <w:rPr>
          <w:rFonts w:ascii="Times New Roman" w:hAnsi="Times New Roman" w:eastAsia="宋体"/>
          <w:sz w:val="24"/>
        </w:rPr>
        <w:t>图A.7展示了6个集成测试用例的执行结果，覆盖完整购买流程、社区互动流程、广告频控流程、活跃度更新、推荐API和管理后台数据接口等端到端测试场景，全部通过。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