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  广告频控  用户活跃度  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Amazon的Item-to-Item协同过滤在工业界获得广泛应用。第二阶段以矩阵分解为标志：2006年Netflix Prize竞赛推动了SVD、ALS等方法在推荐中的应用，有效缓解了数据稀疏性问题。第三阶段以深度学习为核心：2016年Google提出Wide &amp; Deep模型，2017年华为提出DeepFM实现自动特征交叉，2018年阿里提出DIN通过注意力机制动态建模用户兴趣。</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近年来有研究利用强化学习动态调整展示频率，或从广告疲劳度角度建模用户耐受曲线。但现有研究主要基于广告上下文中的行为数据，较少将社区互动数据纳入频控决策。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计算用户相似度。采用余弦相似度，值越大表示两个用户越相似。</w:t>
      </w:r>
    </w:p>
    <w:p>
      <w:pPr>
        <w:jc w:val="center"/>
      </w:pPr>
      <w:r>
        <w:rPr>
          <w:i/>
          <w:color w:val="646464"/>
          <w:sz w:val="22"/>
        </w:rPr>
        <w:t>【MathType公式占位】sim(u,v) = (r_u · r_v) / (‖r_u‖ × ‖r_v‖)</w:t>
      </w:r>
      <w:r>
        <w:rPr>
          <w:i w:val="0"/>
          <w:color w:val="000000"/>
          <w:sz w:val="24"/>
        </w:rPr>
        <w:t xml:space="preserve">          （2-1）</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本系统采用非负矩阵分解（NMF），要求分解结果全部非负，适合处理隐式反馈数据。优化算法使用交替最小二乘法（ALS）：固定一个因子矩阵，优化另一个，交替迭代至收敛，每步可求解析解。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DeepFM由华为诺亚方舟实验室提出，将FM与DNN端到端联合训练。架构包含两个并行组件：</w:t>
      </w:r>
    </w:p>
    <w:p>
      <w:pPr>
        <w:ind w:firstLine="420"/>
      </w:pPr>
      <w:r>
        <w:rPr>
          <w:rFonts w:ascii="宋体" w:hAnsi="宋体" w:eastAsia="宋体"/>
          <w:sz w:val="24"/>
        </w:rPr>
        <w:t>1. FM组件。捕获特征的二阶交叉关系，其中v_i为特征i的隐向量。通过sum-of-square与square-of-sum的差值实现O(kn)复杂度的高效计算。</w:t>
      </w:r>
    </w:p>
    <w:p>
      <w:pPr>
        <w:jc w:val="center"/>
      </w:pPr>
      <w:r>
        <w:rPr>
          <w:i/>
          <w:color w:val="646464"/>
          <w:sz w:val="22"/>
        </w:rPr>
        <w:t>【MathType公式占位】y_FM = w₀ + Σᵢ(wᵢxᵢ) + Σᵢ Σⱼ₌ᵢ₊₁ ⟨vᵢ, vⱼ⟩ xᵢxⱼ</w:t>
      </w:r>
      <w:r>
        <w:rPr>
          <w:i w:val="0"/>
          <w:color w:val="000000"/>
          <w:sz w:val="24"/>
        </w:rPr>
        <w:t xml:space="preserve">          （2-2）</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针对用户兴趣多样性设计。核心创新是引入注意力机制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i/>
          <w:color w:val="646464"/>
          <w:sz w:val="22"/>
        </w:rPr>
        <w:t>【MathType公式占位】eCPM = bid × pCTR × 1000</w:t>
      </w:r>
      <w:r>
        <w:rPr>
          <w:i w:val="0"/>
          <w:color w:val="000000"/>
          <w:sz w:val="24"/>
        </w:rPr>
        <w:t xml:space="preserve">          （2-4）</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w:t>
      </w:r>
    </w:p>
    <w:p>
      <w:pPr>
        <w:jc w:val="center"/>
      </w:pPr>
      <w:r>
        <w:rPr>
          <w:i/>
          <w:color w:val="646464"/>
          <w:sz w:val="22"/>
        </w:rPr>
        <w:t>【MathType公式占位】charge_CPC = eCPM_next / pCTR_current / 1000 + 0.01</w:t>
      </w:r>
      <w:r>
        <w:rPr>
          <w:i w:val="0"/>
          <w:color w:val="000000"/>
          <w:sz w:val="24"/>
        </w:rPr>
        <w:t xml:space="preserve">          （2-5）</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i/>
          <w:color w:val="646464"/>
          <w:sz w:val="22"/>
        </w:rPr>
        <w:t>【MathType公式占位】decay(t) = e^(−λ·t)，λ = 0.1</w:t>
      </w:r>
      <w:r>
        <w:rPr>
          <w:i w:val="0"/>
          <w:color w:val="000000"/>
          <w:sz w:val="24"/>
        </w:rPr>
        <w:t xml:space="preserve">          （2-3）</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层次</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技术</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后端框架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FastAPI</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高性能异步REST API</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ORM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SQLAlchemy 2.0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数据库对象映射</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数据验证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Pydantic v2</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请求/响应模型验证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JWT (python-jose)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无状态身份认证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推荐算法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scikit-learn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协同过滤/矩阵分解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深度学习</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PyTorch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前端框架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Vue 3 + TypeScript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单页应用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UI组件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Element Plus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企业级组件库</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可视化</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ECharts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管理后台图表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轻量级关系型存储</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活跃度等级</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评分范围</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每页广告数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最小间隔(秒)</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每日上限</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高活跃</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50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普通</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20~60分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120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低活跃</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&lt;20分</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300</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jc w:val="center"/>
      </w:pPr>
      <w:r>
        <w:rPr>
          <w:i/>
          <w:color w:val="808080"/>
          <w:sz w:val="22"/>
        </w:rPr>
        <w:br/>
        <w:br/>
        <w:t>【此处插入流程图：图3-1 系统整体架构图】</w:t>
        <w:br/>
        <w:t>（见 docs/figures.md 中对应的 Mermaid 源码，用 Visio 绘制后插入）</w:t>
        <w:br/>
        <w:br/>
      </w:r>
    </w:p>
    <w:p>
      <w:pPr>
        <w:jc w:val="center"/>
      </w:pPr>
      <w:r>
        <w:rPr>
          <w:b/>
          <w:sz w:val="20"/>
        </w:rPr>
        <w:t>图3-1 系统整体架构图</w:t>
      </w:r>
    </w:p>
    <w:p/>
    <w:p>
      <w:pPr>
        <w:pStyle w:val="Heading3"/>
      </w:pPr>
      <w:r>
        <w:rPr>
          <w:rFonts w:ascii="黑体" w:hAnsi="黑体" w:eastAsia="黑体"/>
          <w:color w:val="000000"/>
          <w:sz w:val="26"/>
        </w:rPr>
        <w:t>3.2.2 模块划分与职责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子模块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核心职责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电商模块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注册、登录、JWT认证、角色管理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商品CRUD、多条件搜索、分类管理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下单、库存校验扣减、订单状态管理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行为追踪</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记录浏览/点击/搜索/加购/购买行为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社区模块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发表评价、评分、有用点赞</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提问、回答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召回层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UserCF、ItemCF、Content-Based、ALS、Hot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排序层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DeepFM、DIN深度模型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重排层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MMR多样性重排、已购/已展示过滤</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流水线</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编排召回→排序→重排的执行流程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竞价排序</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eCPM = bid × pCTR排序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频控组件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基于活跃度等级的三级频控策略</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CPC/CPM扣费、预算控制</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评分计算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行为权重 × 时间衰减的加权求和</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等级划分</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高(≥60)/普通(20~60)/低(&lt;20)</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仪表盘</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i/>
          <w:color w:val="808080"/>
          <w:sz w:val="22"/>
        </w:rPr>
        <w:br/>
        <w:br/>
        <w:t>【此处插入流程图：图3-2 推荐流程图】</w:t>
        <w:br/>
        <w:t>（见 docs/figures.md 中对应的 Mermaid 源码，用 Visio 绘制后插入）</w:t>
        <w:br/>
        <w:br/>
      </w:r>
    </w:p>
    <w:p>
      <w:pPr>
        <w:jc w:val="center"/>
      </w:pPr>
      <w:r>
        <w:rPr>
          <w:b/>
          <w:sz w:val="20"/>
        </w:rPr>
        <w:t>图3-2 推荐流程图</w:t>
      </w:r>
    </w:p>
    <w:p/>
    <w:p>
      <w:pPr>
        <w:jc w:val="center"/>
      </w:pPr>
      <w:r>
        <w:rPr>
          <w:i/>
          <w:color w:val="808080"/>
          <w:sz w:val="22"/>
        </w:rPr>
        <w:br/>
        <w:br/>
        <w:t>【此处插入流程图：图3-3 广告频控流程图】</w:t>
        <w:br/>
        <w:t>（见 docs/figures.md 中对应的 Mermaid 源码，用 Visio 绘制后插入）</w:t>
        <w:br/>
        <w:br/>
      </w:r>
    </w:p>
    <w:p>
      <w:pPr>
        <w:jc w:val="center"/>
      </w:pPr>
      <w:r>
        <w:rPr>
          <w:b/>
          <w:sz w:val="20"/>
        </w:rPr>
        <w:t>图3-3 广告频控流程图</w:t>
      </w:r>
    </w:p>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路径前缀</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核心接口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/api/auth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register, POST login, GET me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list, GET /{id}, GET /search, POST, PUT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/api/orders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list, GET /{id}</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/api/recommend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/home, GET /similar/{id}, GET /for-you</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/api/ads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/fetch(含频控), POST /impression, POST create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/api/reviews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/{id}/helpful</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/api/qa</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/{id}/answer</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/api/activity</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/my-score</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/api/analytics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String(50)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用户名</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email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String(120)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邮箱</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hashed_password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String(255)</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bcrypt哈希密码</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role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consumer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角色</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activity_score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活跃度评分(0-100)</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ad_frequency_level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normal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广告频率等级</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now()</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注册时间</w:t>
            </w:r>
          </w:p>
        </w:tc>
      </w:tr>
    </w:tbl>
    <w:p/>
    <w:p>
      <w:pPr>
        <w:pStyle w:val="Heading3"/>
      </w:pPr>
      <w:r>
        <w:rPr>
          <w:rFonts w:ascii="黑体" w:hAnsi="黑体" w:eastAsia="黑体"/>
          <w:color w:val="000000"/>
          <w:sz w:val="26"/>
        </w:rPr>
        <w:t>4.1.2 商品表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商品名称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description</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Text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描述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price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价格</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category_id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FK→categories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分类</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merchant_id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商家</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stock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库存</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sales_count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销量</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tags</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NULLABLE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标签（用于召回）</w:t>
            </w:r>
          </w:p>
        </w:tc>
      </w:tr>
    </w:tbl>
    <w:p/>
    <w:p>
      <w:pPr>
        <w:pStyle w:val="Heading3"/>
      </w:pPr>
      <w:r>
        <w:rPr>
          <w:rFonts w:ascii="黑体" w:hAnsi="黑体" w:eastAsia="黑体"/>
          <w:color w:val="000000"/>
          <w:sz w:val="26"/>
        </w:rPr>
        <w:t>4.1.3 广告表与展示日志表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advertiser_id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title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广告标题</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出价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Enum(CPC/CPM)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daily_budget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日预算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total_budget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总预算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spent_amount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已消耗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target_tags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定向标签</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status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状态(active/paused/exhausted)</w:t>
            </w:r>
          </w:p>
        </w:tc>
      </w:tr>
    </w:tbl>
    <w:p/>
    <w:p>
      <w:pPr>
        <w:pStyle w:val="Heading3"/>
      </w:pPr>
      <w:r>
        <w:rPr>
          <w:rFonts w:ascii="黑体" w:hAnsi="黑体" w:eastAsia="黑体"/>
          <w:color w:val="000000"/>
          <w:sz w:val="26"/>
        </w:rPr>
        <w:t>4.1.4 行为日志表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product_id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商品（可空）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behavior_type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view/click/cart/purchase/review/search/login</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context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上下文（来源页面、搜索词等）</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MMR多样性重排。每次选择得分最高且与已选集合最不相似的物品，以商品品类为多样性维度。</w:t>
      </w:r>
    </w:p>
    <w:p>
      <w:pPr>
        <w:jc w:val="center"/>
      </w:pPr>
      <w:r>
        <w:rPr>
          <w:i/>
          <w:color w:val="646464"/>
          <w:sz w:val="22"/>
        </w:rPr>
        <w:t>【MathType公式占位】MMR = λ · Rel(dᵢ) − (1−λ) · max_{d∈S} Sim(dᵢ, d)，λ = 0.5</w:t>
      </w:r>
      <w:r>
        <w:rPr>
          <w:i w:val="0"/>
          <w:color w:val="000000"/>
          <w:sz w:val="24"/>
        </w:rPr>
        <w:t xml:space="preserve">          （4-2）</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RecommendationPipeline类编排完整的推荐流程：调用多路召回→合并去重→排序打分→重排多样性→热门兜底填充→返回Top-N。对于无历史行为的新用户，直接返回热门召回结果。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i/>
          <w:color w:val="646464"/>
          <w:sz w:val="22"/>
        </w:rPr>
        <w:t>【MathType公式占位】S = min(100, Σᵢ wᵢ · e^(−0.1 · tᵢ))</w:t>
      </w:r>
      <w:r>
        <w:rPr>
          <w:i w:val="0"/>
          <w:color w:val="000000"/>
          <w:sz w:val="24"/>
        </w:rPr>
        <w:t xml:space="preserve">          （4-1）</w:t>
      </w:r>
    </w:p>
    <w:p>
      <w:pPr>
        <w:ind w:firstLine="420"/>
      </w:pPr>
      <w:r>
        <w:rPr>
          <w:rFonts w:ascii="宋体" w:hAnsi="宋体" w:eastAsia="宋体"/>
          <w:sz w:val="24"/>
        </w:rPr>
        <w:t>其中S为活跃度评分，wᵢ为第i条行为的权重值，tᵢ为该行为距今的天数。</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i/>
          <w:color w:val="808080"/>
          <w:sz w:val="22"/>
        </w:rPr>
        <w:br/>
        <w:br/>
        <w:t>【此处插入流程图：图4-1 活跃度评分流程图】</w:t>
        <w:br/>
        <w:t>（见 docs/figures.md 中对应的 Mermaid 源码，用 Visio 绘制后插入）</w:t>
        <w:br/>
        <w:br/>
      </w:r>
    </w:p>
    <w:p>
      <w:pPr>
        <w:jc w:val="center"/>
      </w:pPr>
      <w:r>
        <w:rPr>
          <w:b/>
          <w:sz w:val="20"/>
        </w:rPr>
        <w:t>图4-1 活跃度评分流程图</w:t>
      </w:r>
    </w:p>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项目</w:t>
            </w:r>
          </w:p>
        </w:tc>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配置</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操作系统</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Windows 11 Pro</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Python</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3.8+</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Node.js</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16+</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测试框架</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 8.3 + FastAPI TestClient</w:t>
            </w:r>
          </w:p>
        </w:tc>
      </w:tr>
      <w:tr>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测试项</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方法</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目标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结果</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达标</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推荐接口</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商品列表</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bl>
    <w:p/>
    <w:p>
      <w:pPr>
        <w:pStyle w:val="Heading2"/>
      </w:pPr>
      <w:r>
        <w:rPr>
          <w:rFonts w:ascii="黑体" w:hAnsi="黑体" w:eastAsia="黑体"/>
          <w:color w:val="000000"/>
          <w:sz w:val="30"/>
        </w:rPr>
        <w:t>5.5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用例数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通过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跳过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失败</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48</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集成测试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性能测试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合计</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77</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73</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ACM RecSys, 2016: 191-198.</w:t>
      </w:r>
    </w:p>
    <w:p>
      <w:r>
        <w:rPr>
          <w:rFonts w:ascii="Times New Roman" w:hAnsi="Times New Roman"/>
          <w:sz w:val="22"/>
        </w:rPr>
        <w:t>[2] Guo H, Tang R, Ye Y, et al. DeepFM: a factorization-machine based neural network for CTR prediction[C]. IJCAI, 2017: 1725-1731.</w:t>
      </w:r>
    </w:p>
    <w:p>
      <w:r>
        <w:rPr>
          <w:rFonts w:ascii="Times New Roman" w:hAnsi="Times New Roman"/>
          <w:sz w:val="22"/>
        </w:rPr>
        <w:t>[3] Zhou G, Zhu X, Song C, et al. Deep interest network for click-through rate prediction[C]. ACM KDD, 2018: 1059-1068.</w:t>
      </w:r>
    </w:p>
    <w:p>
      <w:r>
        <w:rPr>
          <w:rFonts w:ascii="Times New Roman" w:hAnsi="Times New Roman"/>
          <w:sz w:val="22"/>
        </w:rPr>
        <w:t>[4] He X, Liao L, Zhang H, et al. Neural collaborative filtering[C]. WWW, 2017: 173-182.</w:t>
      </w:r>
    </w:p>
    <w:p>
      <w:r>
        <w:rPr>
          <w:rFonts w:ascii="Times New Roman" w:hAnsi="Times New Roman"/>
          <w:sz w:val="22"/>
        </w:rPr>
        <w:t>[5] Rendle S. Factorization machines[C]. IEEE ICDM,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WWW,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DLRS, 2016: 7-10.</w:t>
      </w:r>
    </w:p>
    <w:p>
      <w:r>
        <w:rPr>
          <w:rFonts w:ascii="Times New Roman" w:hAnsi="Times New Roman"/>
          <w:sz w:val="22"/>
        </w:rPr>
        <w:t>[10] Zhou G, Mou N, Fan Y, et al. Deep interest evolution network for click-through rate prediction[C]. AAAI, 2019, 33: 5941-5948.</w:t>
      </w:r>
    </w:p>
    <w:p>
      <w:r>
        <w:rPr>
          <w:rFonts w:ascii="Times New Roman" w:hAnsi="Times New Roman"/>
          <w:sz w:val="22"/>
        </w:rPr>
        <w:t>[11] Edelman B, Ostrovsky M, Schwarz M. Internet advertising and the generalized second-price auction[J]. AER, 2007, 97(1): 242-259.</w:t>
      </w:r>
    </w:p>
    <w:p>
      <w:r>
        <w:rPr>
          <w:rFonts w:ascii="Times New Roman" w:hAnsi="Times New Roman"/>
          <w:sz w:val="22"/>
        </w:rPr>
        <w:t>[12] Lee D D, Seung H S. Learning the parts of objects by non-negative matrix factorization[J]. Nature, 1999, 401: 788-791.</w:t>
      </w:r>
    </w:p>
    <w:p>
      <w:r>
        <w:rPr>
          <w:rFonts w:ascii="Times New Roman" w:hAnsi="Times New Roman"/>
          <w:sz w:val="22"/>
        </w:rPr>
        <w:t>[13] Vaswani A, Shazeer N, Parmar N, et al. Attention is all you need[C]. NeurIPS, 2017: 5998-6008.</w:t>
      </w:r>
    </w:p>
    <w:p>
      <w:r>
        <w:rPr>
          <w:rFonts w:ascii="Times New Roman" w:hAnsi="Times New Roman"/>
          <w:sz w:val="22"/>
        </w:rPr>
        <w:t>[14] Richardson M, Dominowska E, Ragno R. Predicting clicks: estimating the click-through rate for new ads[C]. WWW, 2007: 521-530.</w:t>
      </w:r>
    </w:p>
    <w:p>
      <w:r>
        <w:rPr>
          <w:rFonts w:ascii="Times New Roman" w:hAnsi="Times New Roman"/>
          <w:sz w:val="22"/>
        </w:rPr>
        <w:t>[15] Wang R, Fu B, Fu G, et al. Deep &amp; cross network for ad click predictions[C]. ADKDD, 2017: 1-7.</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