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AMITY UNIVERSITY GURUGRAM</w:t>
      </w:r>
    </w:p>
    <w:p>
      <w:pPr>
        <w:spacing w:after="60"/>
        <w:jc w:val="center"/>
      </w:pPr>
      <w:r>
        <w:rPr>
          <w:rFonts w:ascii="Times New Roman" w:cs="Times New Roman" w:eastAsia="Times New Roman" w:hAnsi="Times New Roman"/>
          <w:sz w:val="26"/>
          <w:szCs w:val="26"/>
        </w:rPr>
        <w:t xml:space="preserve">Amity School of Engineering and Technology</w:t>
      </w:r>
    </w:p>
    <w:p>
      <w:pPr>
        <w:spacing w:after="700"/>
        <w:jc w:val="center"/>
      </w:pPr>
      <w:r>
        <w:rPr>
          <w:rFonts w:ascii="Times New Roman" w:cs="Times New Roman" w:eastAsia="Times New Roman" w:hAnsi="Times New Roman"/>
          <w:sz w:val="24"/>
          <w:szCs w:val="24"/>
        </w:rPr>
        <w:t xml:space="preserve">Department of Artificial Intelligence</w:t>
      </w:r>
    </w:p>
    <w:p>
      <w:pPr>
        <w:spacing w:after="120"/>
        <w:jc w:val="center"/>
      </w:pPr>
      <w:r>
        <w:rPr>
          <w:rFonts w:ascii="Times New Roman" w:cs="Times New Roman" w:eastAsia="Times New Roman" w:hAnsi="Times New Roman"/>
          <w:b/>
          <w:bCs/>
          <w:sz w:val="24"/>
          <w:szCs w:val="24"/>
        </w:rPr>
        <w:t xml:space="preserve">PROJECT-BASED LEARNING ASSIGNMENT</w:t>
      </w:r>
    </w:p>
    <w:p>
      <w:pPr>
        <w:spacing w:after="600"/>
        <w:jc w:val="center"/>
      </w:pPr>
      <w:r>
        <w:rPr>
          <w:rFonts w:ascii="Times New Roman" w:cs="Times New Roman" w:eastAsia="Times New Roman" w:hAnsi="Times New Roman"/>
          <w:sz w:val="24"/>
          <w:szCs w:val="24"/>
        </w:rPr>
        <w:t xml:space="preserve">Fundamentals of Machine Learning (MLE2503)</w:t>
      </w:r>
    </w:p>
    <w:p>
      <w:pPr>
        <w:spacing w:after="160"/>
        <w:jc w:val="center"/>
      </w:pPr>
      <w:r>
        <w:rPr>
          <w:rFonts w:ascii="Times New Roman" w:cs="Times New Roman" w:eastAsia="Times New Roman" w:hAnsi="Times New Roman"/>
          <w:b/>
          <w:bCs/>
          <w:sz w:val="40"/>
          <w:szCs w:val="40"/>
        </w:rPr>
        <w:t xml:space="preserve">Product Demand and Inventory Intelligence</w:t>
      </w:r>
    </w:p>
    <w:p>
      <w:pPr>
        <w:spacing w:after="900"/>
        <w:jc w:val="center"/>
      </w:pPr>
      <w:r>
        <w:rPr>
          <w:rFonts w:ascii="Times New Roman" w:cs="Times New Roman" w:eastAsia="Times New Roman" w:hAnsi="Times New Roman"/>
          <w:i/>
          <w:iCs/>
          <w:sz w:val="28"/>
          <w:szCs w:val="28"/>
        </w:rPr>
        <w:t xml:space="preserve">Segmentation of the BigBasket Product Catalogue using Unsupervised Machine Learning</w:t>
      </w:r>
    </w:p>
    <w:p>
      <w:pPr>
        <w:spacing w:after="500"/>
        <w:jc w:val="center"/>
      </w:pPr>
      <w:r>
        <w:rPr>
          <w:rFonts w:ascii="Times New Roman" w:cs="Times New Roman" w:eastAsia="Times New Roman" w:hAnsi="Times New Roman"/>
          <w:b/>
          <w:bCs/>
          <w:sz w:val="24"/>
          <w:szCs w:val="24"/>
        </w:rPr>
        <w:t xml:space="preserve">Problem Statement 1</w:t>
      </w:r>
    </w:p>
    <w:p>
      <w:pPr>
        <w:spacing w:after="80"/>
        <w:jc w:val="center"/>
      </w:pPr>
      <w:r>
        <w:rPr>
          <w:rFonts w:ascii="Times New Roman" w:cs="Times New Roman" w:eastAsia="Times New Roman" w:hAnsi="Times New Roman"/>
          <w:sz w:val="22"/>
          <w:szCs w:val="22"/>
        </w:rPr>
        <w:t xml:space="preserve">Submitted by</w:t>
      </w:r>
    </w:p>
    <w:p>
      <w:pPr>
        <w:spacing w:after="60"/>
        <w:jc w:val="center"/>
      </w:pPr>
      <w:r>
        <w:rPr>
          <w:rFonts w:ascii="Times New Roman" w:cs="Times New Roman" w:eastAsia="Times New Roman" w:hAnsi="Times New Roman"/>
          <w:b/>
          <w:bCs/>
          <w:sz w:val="28"/>
          <w:szCs w:val="28"/>
        </w:rPr>
        <w:t xml:space="preserve">Kunal</w:t>
      </w:r>
    </w:p>
    <w:p>
      <w:pPr>
        <w:spacing w:after="500"/>
        <w:jc w:val="center"/>
      </w:pPr>
      <w:r>
        <w:rPr>
          <w:rFonts w:ascii="Times New Roman" w:cs="Times New Roman" w:eastAsia="Times New Roman" w:hAnsi="Times New Roman"/>
          <w:sz w:val="24"/>
          <w:szCs w:val="24"/>
        </w:rPr>
        <w:t xml:space="preserve">B.Tech (Artificial Intelligence and Machine Learning), Semester 5</w:t>
      </w:r>
    </w:p>
    <w:p>
      <w:pPr>
        <w:spacing w:after="60"/>
        <w:jc w:val="center"/>
      </w:pPr>
      <w:r>
        <w:rPr>
          <w:rFonts w:ascii="Times New Roman" w:cs="Times New Roman" w:eastAsia="Times New Roman" w:hAnsi="Times New Roman"/>
          <w:sz w:val="22"/>
          <w:szCs w:val="22"/>
        </w:rPr>
        <w:t xml:space="preserve">Academic Session July–December 2026</w:t>
      </w:r>
    </w:p>
    <w:p>
      <w:pPr>
        <w:spacing w:after="120"/>
        <w:jc w:val="center"/>
      </w:pPr>
      <w:r>
        <w:rPr>
          <w:rFonts w:ascii="Times New Roman" w:cs="Times New Roman" w:eastAsia="Times New Roman" w:hAnsi="Times New Roman"/>
          <w:sz w:val="22"/>
          <w:szCs w:val="22"/>
        </w:rPr>
        <w:t xml:space="preserve">October 2026</w:t>
      </w:r>
    </w:p>
    <w:p>
      <w:r>
        <w:br w:type="page"/>
      </w:r>
    </w:p>
    <w:p>
      <w:pPr>
        <w:pStyle w:val="Heading1"/>
        <w:spacing w:after="160" w:before="360"/>
      </w:pPr>
      <w:r>
        <w:rPr>
          <w:rFonts w:ascii="Times New Roman" w:cs="Times New Roman" w:eastAsia="Times New Roman" w:hAnsi="Times New Roman"/>
          <w:b/>
          <w:bCs/>
          <w:sz w:val="30"/>
          <w:szCs w:val="30"/>
        </w:rPr>
        <w:t xml:space="preserve">Contents</w:t>
      </w:r>
    </w:p>
    <w:p>
      <w:pPr>
        <w:spacing w:after="90"/>
      </w:pPr>
      <w:r>
        <w:rPr>
          <w:rFonts w:ascii="Times New Roman" w:cs="Times New Roman" w:eastAsia="Times New Roman" w:hAnsi="Times New Roman"/>
          <w:sz w:val="23"/>
          <w:szCs w:val="23"/>
        </w:rPr>
        <w:t xml:space="preserve">Abstract</w:t>
      </w:r>
    </w:p>
    <w:p>
      <w:pPr>
        <w:spacing w:after="90"/>
      </w:pPr>
      <w:r>
        <w:rPr>
          <w:rFonts w:ascii="Times New Roman" w:cs="Times New Roman" w:eastAsia="Times New Roman" w:hAnsi="Times New Roman"/>
          <w:sz w:val="23"/>
          <w:szCs w:val="23"/>
        </w:rPr>
        <w:t xml:space="preserve">1. Introduction</w:t>
      </w:r>
    </w:p>
    <w:p>
      <w:pPr>
        <w:spacing w:after="90"/>
      </w:pPr>
      <w:r>
        <w:rPr>
          <w:rFonts w:ascii="Times New Roman" w:cs="Times New Roman" w:eastAsia="Times New Roman" w:hAnsi="Times New Roman"/>
          <w:sz w:val="23"/>
          <w:szCs w:val="23"/>
        </w:rPr>
        <w:t xml:space="preserve">2. Literature and Methodological Background</w:t>
      </w:r>
    </w:p>
    <w:p>
      <w:pPr>
        <w:spacing w:after="90"/>
      </w:pPr>
      <w:r>
        <w:rPr>
          <w:rFonts w:ascii="Times New Roman" w:cs="Times New Roman" w:eastAsia="Times New Roman" w:hAnsi="Times New Roman"/>
          <w:sz w:val="23"/>
          <w:szCs w:val="23"/>
        </w:rPr>
        <w:t xml:space="preserve">3. Problem Statement and Objectives</w:t>
      </w:r>
    </w:p>
    <w:p>
      <w:pPr>
        <w:spacing w:after="90"/>
      </w:pPr>
      <w:r>
        <w:rPr>
          <w:rFonts w:ascii="Times New Roman" w:cs="Times New Roman" w:eastAsia="Times New Roman" w:hAnsi="Times New Roman"/>
          <w:sz w:val="23"/>
          <w:szCs w:val="23"/>
        </w:rPr>
        <w:t xml:space="preserve">4. Dataset Description</w:t>
      </w:r>
    </w:p>
    <w:p>
      <w:pPr>
        <w:spacing w:after="90"/>
      </w:pPr>
      <w:r>
        <w:rPr>
          <w:rFonts w:ascii="Times New Roman" w:cs="Times New Roman" w:eastAsia="Times New Roman" w:hAnsi="Times New Roman"/>
          <w:sz w:val="23"/>
          <w:szCs w:val="23"/>
        </w:rPr>
        <w:t xml:space="preserve">5. Methodology</w:t>
      </w:r>
    </w:p>
    <w:p>
      <w:pPr>
        <w:spacing w:after="90"/>
      </w:pPr>
      <w:r>
        <w:rPr>
          <w:rFonts w:ascii="Times New Roman" w:cs="Times New Roman" w:eastAsia="Times New Roman" w:hAnsi="Times New Roman"/>
          <w:sz w:val="23"/>
          <w:szCs w:val="23"/>
        </w:rPr>
        <w:t xml:space="preserve">6. Data Pre-processing</w:t>
      </w:r>
    </w:p>
    <w:p>
      <w:pPr>
        <w:spacing w:after="90"/>
      </w:pPr>
      <w:r>
        <w:rPr>
          <w:rFonts w:ascii="Times New Roman" w:cs="Times New Roman" w:eastAsia="Times New Roman" w:hAnsi="Times New Roman"/>
          <w:sz w:val="23"/>
          <w:szCs w:val="23"/>
        </w:rPr>
        <w:t xml:space="preserve">7. Exploratory Data Analysis</w:t>
      </w:r>
    </w:p>
    <w:p>
      <w:pPr>
        <w:spacing w:after="90"/>
      </w:pPr>
      <w:r>
        <w:rPr>
          <w:rFonts w:ascii="Times New Roman" w:cs="Times New Roman" w:eastAsia="Times New Roman" w:hAnsi="Times New Roman"/>
          <w:sz w:val="23"/>
          <w:szCs w:val="23"/>
        </w:rPr>
        <w:t xml:space="preserve">8. Model Development</w:t>
      </w:r>
    </w:p>
    <w:p>
      <w:pPr>
        <w:spacing w:after="90"/>
      </w:pPr>
      <w:r>
        <w:rPr>
          <w:rFonts w:ascii="Times New Roman" w:cs="Times New Roman" w:eastAsia="Times New Roman" w:hAnsi="Times New Roman"/>
          <w:sz w:val="23"/>
          <w:szCs w:val="23"/>
        </w:rPr>
        <w:t xml:space="preserve">9. Results and Evaluation</w:t>
      </w:r>
    </w:p>
    <w:p>
      <w:pPr>
        <w:spacing w:after="90"/>
      </w:pPr>
      <w:r>
        <w:rPr>
          <w:rFonts w:ascii="Times New Roman" w:cs="Times New Roman" w:eastAsia="Times New Roman" w:hAnsi="Times New Roman"/>
          <w:sz w:val="23"/>
          <w:szCs w:val="23"/>
        </w:rPr>
        <w:t xml:space="preserve">10. Business Interpretation and Recommendations</w:t>
      </w:r>
    </w:p>
    <w:p>
      <w:pPr>
        <w:spacing w:after="90"/>
      </w:pPr>
      <w:r>
        <w:rPr>
          <w:rFonts w:ascii="Times New Roman" w:cs="Times New Roman" w:eastAsia="Times New Roman" w:hAnsi="Times New Roman"/>
          <w:sz w:val="23"/>
          <w:szCs w:val="23"/>
        </w:rPr>
        <w:t xml:space="preserve">11. Limitations and Future Work</w:t>
      </w:r>
    </w:p>
    <w:p>
      <w:pPr>
        <w:spacing w:after="90"/>
      </w:pPr>
      <w:r>
        <w:rPr>
          <w:rFonts w:ascii="Times New Roman" w:cs="Times New Roman" w:eastAsia="Times New Roman" w:hAnsi="Times New Roman"/>
          <w:sz w:val="23"/>
          <w:szCs w:val="23"/>
        </w:rPr>
        <w:t xml:space="preserve">12. Conclusion</w:t>
      </w:r>
    </w:p>
    <w:p>
      <w:pPr>
        <w:spacing w:after="90"/>
      </w:pPr>
      <w:r>
        <w:rPr>
          <w:rFonts w:ascii="Times New Roman" w:cs="Times New Roman" w:eastAsia="Times New Roman" w:hAnsi="Times New Roman"/>
          <w:sz w:val="23"/>
          <w:szCs w:val="23"/>
        </w:rPr>
        <w:t xml:space="preserve">References</w:t>
      </w:r>
    </w:p>
    <w:p>
      <w:pPr>
        <w:spacing w:after="90"/>
      </w:pPr>
      <w:r>
        <w:rPr>
          <w:rFonts w:ascii="Times New Roman" w:cs="Times New Roman" w:eastAsia="Times New Roman" w:hAnsi="Times New Roman"/>
          <w:sz w:val="23"/>
          <w:szCs w:val="23"/>
        </w:rPr>
        <w:t xml:space="preserve">Appendix: Submission Contents and Reproducibility</w:t>
      </w:r>
    </w:p>
    <w:p>
      <w:r>
        <w:br w:type="page"/>
      </w:r>
    </w:p>
    <w:p>
      <w:pPr>
        <w:pStyle w:val="Heading1"/>
        <w:spacing w:after="160" w:before="360"/>
      </w:pPr>
      <w:r>
        <w:rPr>
          <w:rFonts w:ascii="Times New Roman" w:cs="Times New Roman" w:eastAsia="Times New Roman" w:hAnsi="Times New Roman"/>
          <w:b/>
          <w:bCs/>
          <w:sz w:val="30"/>
          <w:szCs w:val="30"/>
        </w:rPr>
        <w:t xml:space="preserve">Abstract</w:t>
      </w:r>
    </w:p>
    <w:p>
      <w:pPr>
        <w:spacing w:after="140" w:line="300"/>
        <w:jc w:val="both"/>
      </w:pPr>
      <w:r>
        <w:rPr>
          <w:rFonts w:ascii="Times New Roman" w:cs="Times New Roman" w:eastAsia="Times New Roman" w:hAnsi="Times New Roman"/>
          <w:sz w:val="23"/>
          <w:szCs w:val="23"/>
        </w:rPr>
        <w:t xml:space="preserve">Retail organisations often plan inventory and promotions at the level of the product category, even though products within one category can behave very differently in price, discounting and customer response. This project investigates whether naturally occurring product groups can be discovered from catalogue data, and how those groups could guide stocking and promotional decisions.</w:t>
      </w:r>
    </w:p>
    <w:p>
      <w:pPr>
        <w:spacing w:after="140" w:line="300"/>
        <w:jc w:val="both"/>
      </w:pPr>
      <w:r>
        <w:rPr>
          <w:rFonts w:ascii="Times New Roman" w:cs="Times New Roman" w:eastAsia="Times New Roman" w:hAnsi="Times New Roman"/>
          <w:sz w:val="23"/>
          <w:szCs w:val="23"/>
        </w:rPr>
        <w:t xml:space="preserve">The study uses the BigBasket product catalogue, which contains 27,555 listings from an Indian online grocery retailer. After removing 355 duplicate or unidentifiable records, 27,200 products were retained. Five behavioural features were engineered and standardised: price level, discount percentage, brand breadth, customer rating and an indicator of missing ratings. K-Means clustering, hierarchical clustering with Ward linkage and Gaussian mixture models were compared using the silhouette score, the Davies–Bouldin index and the Calinski–Harabasz index, and principal component analysis was used for visualisation.</w:t>
      </w:r>
    </w:p>
    <w:p>
      <w:pPr>
        <w:spacing w:after="140" w:line="300"/>
        <w:jc w:val="both"/>
      </w:pPr>
      <w:r>
        <w:rPr>
          <w:rFonts w:ascii="Times New Roman" w:cs="Times New Roman" w:eastAsia="Times New Roman" w:hAnsi="Times New Roman"/>
          <w:sz w:val="23"/>
          <w:szCs w:val="23"/>
        </w:rPr>
        <w:t xml:space="preserve">K-Means with five clusters gave the best overall result (silhouette 0.286, Davies–Bouldin 1.27) and proved highly stable under resampling (Adjusted Rand Index of 0.98 or higher). The five segments are core everyday value products, promotion-driven products, premium full-price products with little review activity, low-rated products and large-brand discounted products with little review activity. Differentiated inventory and promotion strategies are proposed for each. Because the catalogue contains no sales, stock or return figures, demand is represented by proxies, and the recommendations should be validated against transaction data before implementation.</w:t>
      </w:r>
    </w:p>
    <w:p>
      <w:pPr>
        <w:spacing w:after="140" w:line="30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i/>
          <w:iCs/>
          <w:sz w:val="23"/>
          <w:szCs w:val="23"/>
        </w:rPr>
        <w:t xml:space="preserve">product segmentation, K-Means, hierarchical clustering, PCA, retail analytics, inventory planning, silhouette score.</w:t>
      </w:r>
    </w:p>
    <w:p>
      <w:pPr>
        <w:pStyle w:val="Heading1"/>
        <w:spacing w:after="160" w:before="360"/>
      </w:pPr>
      <w:r>
        <w:rPr>
          <w:rFonts w:ascii="Times New Roman" w:cs="Times New Roman" w:eastAsia="Times New Roman" w:hAnsi="Times New Roman"/>
          <w:b/>
          <w:bCs/>
          <w:sz w:val="30"/>
          <w:szCs w:val="30"/>
        </w:rPr>
        <w:t xml:space="preserve">1. Introduction</w:t>
      </w:r>
    </w:p>
    <w:p>
      <w:pPr>
        <w:spacing w:after="140" w:line="300"/>
        <w:jc w:val="both"/>
      </w:pPr>
      <w:r>
        <w:rPr>
          <w:rFonts w:ascii="Times New Roman" w:cs="Times New Roman" w:eastAsia="Times New Roman" w:hAnsi="Times New Roman"/>
          <w:sz w:val="23"/>
          <w:szCs w:val="23"/>
        </w:rPr>
        <w:t xml:space="preserve">Online grocery and general retail businesses manage tens of thousands of stock-keeping units. Each unit has its own price, rate of sale, level of promotion and customer reception. When planning decisions follow the product category alone, the same replenishment and promotion rules are applied to items that behave differently. The consequence is familiar: fast-moving items run out of stock while slow-moving items remain on the shelf, tie up capital and, for perishable goods, lose value.</w:t>
      </w:r>
    </w:p>
    <w:p>
      <w:pPr>
        <w:spacing w:after="140" w:line="300"/>
        <w:jc w:val="both"/>
      </w:pPr>
      <w:r>
        <w:rPr>
          <w:rFonts w:ascii="Times New Roman" w:cs="Times New Roman" w:eastAsia="Times New Roman" w:hAnsi="Times New Roman"/>
          <w:sz w:val="23"/>
          <w:szCs w:val="23"/>
        </w:rPr>
        <w:t xml:space="preserve">Machine learning offers an alternative. Clustering algorithms can group products by their measured behaviour without a predefined label, and the resulting groups can be interpreted and managed as planning units. This report describes an end-to-end project that carries out such a segmentation on a real product catalogue, from problem formulation and data preparation through modelling and evaluation to business recommendations.</w:t>
      </w:r>
    </w:p>
    <w:p>
      <w:pPr>
        <w:pStyle w:val="Heading1"/>
        <w:spacing w:after="160" w:before="360"/>
      </w:pPr>
      <w:r>
        <w:rPr>
          <w:rFonts w:ascii="Times New Roman" w:cs="Times New Roman" w:eastAsia="Times New Roman" w:hAnsi="Times New Roman"/>
          <w:b/>
          <w:bCs/>
          <w:sz w:val="30"/>
          <w:szCs w:val="30"/>
        </w:rPr>
        <w:t xml:space="preserve">2. Literature and Methodological Background</w:t>
      </w:r>
    </w:p>
    <w:p>
      <w:pPr>
        <w:spacing w:after="140" w:line="300"/>
        <w:jc w:val="both"/>
      </w:pPr>
      <w:r>
        <w:rPr>
          <w:rFonts w:ascii="Times New Roman" w:cs="Times New Roman" w:eastAsia="Times New Roman" w:hAnsi="Times New Roman"/>
          <w:sz w:val="23"/>
          <w:szCs w:val="23"/>
        </w:rPr>
        <w:t xml:space="preserve">This project relies on a small set of well-established methods, summarised below with their original sources.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K-Means clustering. </w:t>
      </w:r>
      <w:r>
        <w:rPr>
          <w:rFonts w:ascii="Times New Roman" w:cs="Times New Roman" w:eastAsia="Times New Roman" w:hAnsi="Times New Roman"/>
          <w:sz w:val="23"/>
          <w:szCs w:val="23"/>
        </w:rPr>
        <w:t xml:space="preserve">K-Means partitions observations into K groups by minimising the within-cluster sum of squared distances to the cluster centres (MacQueen, 1967). Its result depends on the initial centres, which the k-means++ seeding procedure improves by spreading the starting points (Arthur and Vassilvitskii, 2007). Because the method is based on Euclidean distance, features must be on comparable scales.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Hierarchical clustering. </w:t>
      </w:r>
      <w:r>
        <w:rPr>
          <w:rFonts w:ascii="Times New Roman" w:cs="Times New Roman" w:eastAsia="Times New Roman" w:hAnsi="Times New Roman"/>
          <w:sz w:val="23"/>
          <w:szCs w:val="23"/>
        </w:rPr>
        <w:t xml:space="preserve">Agglomerative clustering builds a tree of nested groups by repeatedly merging the closest pair. Ward's criterion merges the pair that causes the smallest increase in within-cluster variance (Ward, 1963). The tree is displayed as a dendrogram, and a cut at a chosen height yields a set of clusters.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Gaussian mixture models. </w:t>
      </w:r>
      <w:r>
        <w:rPr>
          <w:rFonts w:ascii="Times New Roman" w:cs="Times New Roman" w:eastAsia="Times New Roman" w:hAnsi="Times New Roman"/>
          <w:sz w:val="23"/>
          <w:szCs w:val="23"/>
        </w:rPr>
        <w:t xml:space="preserve">A mixture model describes the data as a combination of Gaussian distributions and assigns each point a probability of membership. It is a model-based alternative to K-Means and was included for comparison.</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Internal validation indices. </w:t>
      </w:r>
      <w:r>
        <w:rPr>
          <w:rFonts w:ascii="Times New Roman" w:cs="Times New Roman" w:eastAsia="Times New Roman" w:hAnsi="Times New Roman"/>
          <w:sz w:val="23"/>
          <w:szCs w:val="23"/>
        </w:rPr>
        <w:t xml:space="preserve">The silhouette coefficient compares each point's distance to its own cluster with its distance to the nearest other cluster, and ranges from −1 to 1 (Rousseeuw, 1987). The Davies–Bouldin index averages the ratio of within-cluster scatter to between-cluster separation, so lower values indicate better clustering (Davies and Bouldin, 1979). The Calinski–Harabasz index is the ratio of between-cluster to within-cluster dispersion, where higher is better (Caliński and Harabasz, 1974).</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Elbow method. </w:t>
      </w:r>
      <w:r>
        <w:rPr>
          <w:rFonts w:ascii="Times New Roman" w:cs="Times New Roman" w:eastAsia="Times New Roman" w:hAnsi="Times New Roman"/>
          <w:sz w:val="23"/>
          <w:szCs w:val="23"/>
        </w:rPr>
        <w:t xml:space="preserve">Within-cluster inertia is plotted against K, and the point where further clusters yield diminishing improvement is taken as a suitable K. The criterion is heuristic and is normally supported by other indices.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Principal component analysis. </w:t>
      </w:r>
      <w:r>
        <w:rPr>
          <w:rFonts w:ascii="Times New Roman" w:cs="Times New Roman" w:eastAsia="Times New Roman" w:hAnsi="Times New Roman"/>
          <w:sz w:val="23"/>
          <w:szCs w:val="23"/>
        </w:rPr>
        <w:t xml:space="preserve">PCA rotates the data onto orthogonal axes ordered by explained variance and is widely used for visualisation and dimensionality reduction (Jolliffe and Cadima, 2016).</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Comparing clusterings. </w:t>
      </w:r>
      <w:r>
        <w:rPr>
          <w:rFonts w:ascii="Times New Roman" w:cs="Times New Roman" w:eastAsia="Times New Roman" w:hAnsi="Times New Roman"/>
          <w:sz w:val="23"/>
          <w:szCs w:val="23"/>
        </w:rPr>
        <w:t xml:space="preserve">The Adjusted Rand Index measures the agreement between two partitions, corrected for chance, and equals 1 for identical partitions (Hubert and Arabie, 1985). It is used here to compare solutions and to assess stability.</w:t>
      </w:r>
    </w:p>
    <w:p>
      <w:pPr>
        <w:spacing w:after="140" w:line="300"/>
        <w:jc w:val="both"/>
      </w:pPr>
      <w:r>
        <w:rPr>
          <w:rFonts w:ascii="Times New Roman" w:cs="Times New Roman" w:eastAsia="Times New Roman" w:hAnsi="Times New Roman"/>
          <w:sz w:val="23"/>
          <w:szCs w:val="23"/>
        </w:rPr>
        <w:t xml:space="preserve">All computations were carried out with the scikit-learn library (Pedregosa et al., 2011).</w:t>
      </w:r>
    </w:p>
    <w:p>
      <w:pPr>
        <w:pStyle w:val="Heading1"/>
        <w:spacing w:after="160" w:before="360"/>
      </w:pPr>
      <w:r>
        <w:rPr>
          <w:rFonts w:ascii="Times New Roman" w:cs="Times New Roman" w:eastAsia="Times New Roman" w:hAnsi="Times New Roman"/>
          <w:b/>
          <w:bCs/>
          <w:sz w:val="30"/>
          <w:szCs w:val="30"/>
        </w:rPr>
        <w:t xml:space="preserve">3. Problem Statement and Objectives</w:t>
      </w:r>
    </w:p>
    <w:p>
      <w:pPr>
        <w:spacing w:after="140" w:line="300"/>
        <w:jc w:val="both"/>
      </w:pPr>
      <w:r>
        <w:rPr>
          <w:rFonts w:ascii="Times New Roman" w:cs="Times New Roman" w:eastAsia="Times New Roman" w:hAnsi="Times New Roman"/>
          <w:sz w:val="23"/>
          <w:szCs w:val="23"/>
        </w:rPr>
        <w:t xml:space="preserve">A large retailer manages thousands of products whose sales frequency, price, inventory movement, discounts and returns differ markedly. Inventory decisions are currently category-based, which can cause stock-outs of fast-moving products and excess stock of slow-moving ones. Management requires a machine learning system that discovers groups of products with similar commercial behaviour and uses these groups for inventory and promotional planning.</w:t>
      </w:r>
    </w:p>
    <w:p>
      <w:pPr>
        <w:spacing w:after="140" w:line="300"/>
        <w:jc w:val="both"/>
      </w:pPr>
      <w:r>
        <w:rPr>
          <w:rFonts w:ascii="Times New Roman" w:cs="Times New Roman" w:eastAsia="Times New Roman" w:hAnsi="Times New Roman"/>
          <w:sz w:val="23"/>
          <w:szCs w:val="23"/>
        </w:rPr>
        <w:t xml:space="preserve">The objectives of the project are:</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to identify naturally occurring product groups;</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to characterise fast-moving, slow-moving, premium, high-demand and promotion-driven products;</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to evaluate the quality of the discovered clusters with internal validation measures; and</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to support inventory and promotional decisions with segment-specific strategies.</w:t>
      </w:r>
    </w:p>
    <w:p>
      <w:pPr>
        <w:pStyle w:val="Heading1"/>
        <w:spacing w:after="160" w:before="360"/>
      </w:pPr>
      <w:r>
        <w:rPr>
          <w:rFonts w:ascii="Times New Roman" w:cs="Times New Roman" w:eastAsia="Times New Roman" w:hAnsi="Times New Roman"/>
          <w:b/>
          <w:bCs/>
          <w:sz w:val="30"/>
          <w:szCs w:val="30"/>
        </w:rPr>
        <w:t xml:space="preserve">4. Dataset Description</w:t>
      </w:r>
    </w:p>
    <w:p>
      <w:pPr>
        <w:spacing w:after="140" w:line="300"/>
        <w:jc w:val="both"/>
      </w:pPr>
      <w:r>
        <w:rPr>
          <w:rFonts w:ascii="Times New Roman" w:cs="Times New Roman" w:eastAsia="Times New Roman" w:hAnsi="Times New Roman"/>
          <w:sz w:val="23"/>
          <w:szCs w:val="23"/>
        </w:rPr>
        <w:t xml:space="preserve">The BigBasket Products dataset, obtained from Kaggle, contains 27,555 product listings with ten attributes. Table 1 summarises the attributes.</w:t>
      </w:r>
    </w:p>
    <w:p>
      <w:pPr>
        <w:keepNext/>
        <w:spacing w:after="80" w:before="200"/>
        <w:jc w:val="center"/>
      </w:pPr>
      <w:r>
        <w:rPr>
          <w:rFonts w:ascii="Times New Roman" w:cs="Times New Roman" w:eastAsia="Times New Roman" w:hAnsi="Times New Roman"/>
          <w:i/>
          <w:iCs/>
          <w:sz w:val="20"/>
          <w:szCs w:val="20"/>
        </w:rPr>
        <w:t xml:space="preserve">Table 1. Attributes of the BigBasket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cantSplit/>
          <w:tblHeader/>
        </w:trPr>
        <w:tc>
          <w:tcPr>
            <w:tcW w:type="dxa" w:w="2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Attribute</w:t>
            </w:r>
          </w:p>
        </w:tc>
        <w:tc>
          <w:tcPr>
            <w:tcW w:type="dxa" w:w="24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Type</w:t>
            </w:r>
          </w:p>
        </w:tc>
        <w:tc>
          <w:tcPr>
            <w:tcW w:type="dxa" w:w="52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Description</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index</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Row identifier (not used in the analysis)</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product</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Text</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Product name</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category</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Categorical (11)</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Top-level category, for example Beauty &amp; Hygiene</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sub_category</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Categorical (90)</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Second-level category</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brand</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Categorical (about 2,300)</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Brand name</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type</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Categorical (426)</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Product type within the sub-category</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sale_price</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Numeric (₹)</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Selling price; mean 322.5, median 190, maximum 12,500</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market_price</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Numeric (₹)</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Printed price; mean 382.1, median 220, maximum 12,500</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rating</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Numeric (1–5)</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Customer rating; available for 18,929 listings, mean 3.94</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description</w:t>
            </w:r>
          </w:p>
        </w:tc>
        <w:tc>
          <w:tcPr>
            <w:tcW w:type="dxa" w:w="2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Text</w:t>
            </w:r>
          </w:p>
        </w:tc>
        <w:tc>
          <w:tcPr>
            <w:tcW w:type="dxa" w:w="5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Product description</w:t>
            </w:r>
          </w:p>
        </w:tc>
      </w:tr>
    </w:tbl>
    <w:p>
      <w:pPr>
        <w:spacing w:after="120"/>
      </w:pPr>
    </w:p>
    <w:p>
      <w:pPr>
        <w:spacing w:after="140" w:line="300"/>
        <w:jc w:val="both"/>
      </w:pPr>
      <w:r>
        <w:rPr>
          <w:rFonts w:ascii="Times New Roman" w:cs="Times New Roman" w:eastAsia="Times New Roman" w:hAnsi="Times New Roman"/>
          <w:b/>
          <w:bCs/>
          <w:sz w:val="23"/>
          <w:szCs w:val="23"/>
        </w:rPr>
        <w:t xml:space="preserve">Important limitation. </w:t>
      </w:r>
      <w:r>
        <w:rPr>
          <w:rFonts w:ascii="Times New Roman" w:cs="Times New Roman" w:eastAsia="Times New Roman" w:hAnsi="Times New Roman"/>
          <w:sz w:val="23"/>
          <w:szCs w:val="23"/>
        </w:rPr>
        <w:t xml:space="preserve">The file is a catalogue snapshot. It contains no units sold, stock levels or return figures, so sales velocity and inventory movement cannot be measured directly. The analysis therefore uses proxies: discount depth indicates dependence on promotion, the presence of ratings indicates review traction, brand size indicates breadth in the assortment, and price relative to peers indicates positioning. All interpretations should be read in this light.</w:t>
      </w:r>
    </w:p>
    <w:p>
      <w:pPr>
        <w:pStyle w:val="Heading1"/>
        <w:spacing w:after="160" w:before="360"/>
      </w:pPr>
      <w:r>
        <w:rPr>
          <w:rFonts w:ascii="Times New Roman" w:cs="Times New Roman" w:eastAsia="Times New Roman" w:hAnsi="Times New Roman"/>
          <w:b/>
          <w:bCs/>
          <w:sz w:val="30"/>
          <w:szCs w:val="30"/>
        </w:rPr>
        <w:t xml:space="preserve">5. Methodology</w:t>
      </w:r>
    </w:p>
    <w:p>
      <w:pPr>
        <w:spacing w:after="140" w:line="300"/>
        <w:jc w:val="both"/>
      </w:pPr>
      <w:r>
        <w:rPr>
          <w:rFonts w:ascii="Times New Roman" w:cs="Times New Roman" w:eastAsia="Times New Roman" w:hAnsi="Times New Roman"/>
          <w:sz w:val="23"/>
          <w:szCs w:val="23"/>
        </w:rPr>
        <w:t xml:space="preserve">The project follows the standard stages of an unsupervised learning study: (1) loading and inspecting the data; (2) cleaning, imputation, feature engineering and outlier assessment; (3) encoding of categorical attributes; (4) a decision on data splitting; (5) standardisation; (6) clustering with K-Means, hierarchical methods and a Gaussian mixture, together with PCA; and (7) evaluation, profiling and business interpretation. Random seeds were fixed throughout, so every figure and table can be reproduced from the accompanying notebook.</w:t>
      </w:r>
    </w:p>
    <w:p>
      <w:pPr>
        <w:pStyle w:val="Heading1"/>
        <w:spacing w:after="160" w:before="360"/>
      </w:pPr>
      <w:r>
        <w:rPr>
          <w:rFonts w:ascii="Times New Roman" w:cs="Times New Roman" w:eastAsia="Times New Roman" w:hAnsi="Times New Roman"/>
          <w:b/>
          <w:bCs/>
          <w:sz w:val="30"/>
          <w:szCs w:val="30"/>
        </w:rPr>
        <w:t xml:space="preserve">6. Data Pre-processing</w:t>
      </w:r>
    </w:p>
    <w:p>
      <w:pPr>
        <w:pStyle w:val="Heading2"/>
        <w:spacing w:after="120" w:before="240"/>
      </w:pPr>
      <w:r>
        <w:rPr>
          <w:rFonts w:ascii="Times New Roman" w:cs="Times New Roman" w:eastAsia="Times New Roman" w:hAnsi="Times New Roman"/>
          <w:b/>
          <w:bCs/>
          <w:sz w:val="25"/>
          <w:szCs w:val="25"/>
        </w:rPr>
        <w:t xml:space="preserve">6.1 Missing, duplicate and inconsistent records</w:t>
      </w:r>
    </w:p>
    <w:p>
      <w:pPr>
        <w:spacing w:after="140" w:line="300"/>
        <w:jc w:val="both"/>
      </w:pPr>
      <w:r>
        <w:rPr>
          <w:rFonts w:ascii="Times New Roman" w:cs="Times New Roman" w:eastAsia="Times New Roman" w:hAnsi="Times New Roman"/>
          <w:sz w:val="23"/>
          <w:szCs w:val="23"/>
        </w:rPr>
        <w:t xml:space="preserve">Table 2 summarises the data-quality review. Ratings are missing for 8,626 listings (31.3 per cent). The pattern is not random: Eggs, Meat and Fish and Fruits and Vegetables have no ratings at all, while Gourmet and World Food is missing 48.8 per cent and Snacks and Branded Foods only 12.3 per cent (Figure 1).</w:t>
      </w:r>
    </w:p>
    <w:p>
      <w:pPr>
        <w:keepNext/>
        <w:spacing w:after="80" w:before="200"/>
        <w:jc w:val="center"/>
      </w:pPr>
      <w:r>
        <w:rPr>
          <w:rFonts w:ascii="Times New Roman" w:cs="Times New Roman" w:eastAsia="Times New Roman" w:hAnsi="Times New Roman"/>
          <w:i/>
          <w:iCs/>
          <w:sz w:val="20"/>
          <w:szCs w:val="20"/>
        </w:rPr>
        <w:t xml:space="preserve">Table 2. Data-quality findings and treatment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1900"/>
        <w:gridCol w:w="3038"/>
      </w:tblGrid>
      <w:tr>
        <w:trPr>
          <w:cantSplit/>
          <w:tblHeader/>
        </w:trPr>
        <w:tc>
          <w:tcPr>
            <w:tcW w:type="dxa" w:w="47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Issue</w:t>
            </w:r>
          </w:p>
        </w:tc>
        <w:tc>
          <w:tcPr>
            <w:tcW w:type="dxa" w:w="19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Count</w:t>
            </w:r>
          </w:p>
        </w:tc>
        <w:tc>
          <w:tcPr>
            <w:tcW w:type="dxa" w:w="30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Treatment</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Exact duplicate listings (ignoring the index)</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354</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Removed</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Listing with no product name</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Removed</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Listing with no brand</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Labelled "Unknown"</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Missing descriptions</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115</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Replaced by an empty string</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Missing ratings</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8,626 (31.3%)</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Imputed; missing flag retained</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Brand names with leading or trailing spaces</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1,625</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Standardised; case variants merged</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Market price below sale price</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None required</w:t>
            </w:r>
          </w:p>
        </w:tc>
      </w:tr>
      <w:tr>
        <w:trPr>
          <w:cantSplit/>
        </w:trPr>
        <w:tc>
          <w:tcPr>
            <w:tcW w:type="dxa" w:w="4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Zero or negative prices</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0</w:t>
            </w:r>
          </w:p>
        </w:tc>
        <w:tc>
          <w:tcPr>
            <w:tcW w:type="dxa" w:w="30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None required</w:t>
            </w:r>
          </w:p>
        </w:tc>
      </w:tr>
    </w:tbl>
    <w:p>
      <w:pPr>
        <w:spacing w:after="120"/>
      </w:pPr>
    </w:p>
    <w:p>
      <w:pPr>
        <w:keepNext/>
        <w:spacing w:after="40" w:before="120"/>
        <w:jc w:val="center"/>
      </w:pPr>
      <w:r>
        <w:drawing>
          <wp:inline distT="0" distB="0" distL="0" distR="0">
            <wp:extent cx="4476750" cy="2209800"/>
            <wp:effectExtent t="0" r="0" b="0" l="0"/>
            <wp:docPr id="1" name="01_missing_ratings_by_category.png" descr="Figure 1. Percentage of products without a rating, by category" title="Figure 1. Percentage of products without a rating,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098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 Percentage of products without a rating, by category</w:t>
      </w:r>
    </w:p>
    <w:p>
      <w:pPr>
        <w:spacing w:after="140" w:line="300"/>
        <w:jc w:val="both"/>
      </w:pPr>
      <w:r>
        <w:rPr>
          <w:rFonts w:ascii="Times New Roman" w:cs="Times New Roman" w:eastAsia="Times New Roman" w:hAnsi="Times New Roman"/>
          <w:sz w:val="23"/>
          <w:szCs w:val="23"/>
        </w:rPr>
        <w:t xml:space="preserve">After cleaning, 27,200 products remained.</w:t>
      </w:r>
    </w:p>
    <w:p>
      <w:pPr>
        <w:pStyle w:val="Heading2"/>
        <w:spacing w:after="120" w:before="240"/>
      </w:pPr>
      <w:r>
        <w:rPr>
          <w:rFonts w:ascii="Times New Roman" w:cs="Times New Roman" w:eastAsia="Times New Roman" w:hAnsi="Times New Roman"/>
          <w:b/>
          <w:bCs/>
          <w:sz w:val="25"/>
          <w:szCs w:val="25"/>
        </w:rPr>
        <w:t xml:space="preserve">6.2 Imputation</w:t>
      </w:r>
    </w:p>
    <w:p>
      <w:pPr>
        <w:spacing w:after="140" w:line="300"/>
        <w:jc w:val="both"/>
      </w:pPr>
      <w:r>
        <w:rPr>
          <w:rFonts w:ascii="Times New Roman" w:cs="Times New Roman" w:eastAsia="Times New Roman" w:hAnsi="Times New Roman"/>
          <w:sz w:val="23"/>
          <w:szCs w:val="23"/>
        </w:rPr>
        <w:t xml:space="preserve">A missing rating is informative: a product that no customer has rated has probably attracted little review activity. The absence was therefore retained as a binary indicator (rating_missing). The rating itself was imputed with the median rating of the product's sub-category, which keeps each product in line with comparable items. For the two categories with no ratings at all, the overall median of 4.1 was used. The median was preferred to the mean because ratings are concentrated at the upper end of the scale.</w:t>
      </w:r>
    </w:p>
    <w:p>
      <w:pPr>
        <w:pStyle w:val="Heading2"/>
        <w:spacing w:after="120" w:before="240"/>
      </w:pPr>
      <w:r>
        <w:rPr>
          <w:rFonts w:ascii="Times New Roman" w:cs="Times New Roman" w:eastAsia="Times New Roman" w:hAnsi="Times New Roman"/>
          <w:b/>
          <w:bCs/>
          <w:sz w:val="25"/>
          <w:szCs w:val="25"/>
        </w:rPr>
        <w:t xml:space="preserve">6.3 Feature engineering</w:t>
      </w:r>
    </w:p>
    <w:p>
      <w:pPr>
        <w:spacing w:after="140" w:line="300"/>
        <w:jc w:val="both"/>
      </w:pPr>
      <w:r>
        <w:rPr>
          <w:rFonts w:ascii="Times New Roman" w:cs="Times New Roman" w:eastAsia="Times New Roman" w:hAnsi="Times New Roman"/>
          <w:sz w:val="23"/>
          <w:szCs w:val="23"/>
        </w:rPr>
        <w:t xml:space="preserve">Because sales data are absent, features were designed to describe observable commercial behaviour (Table 3). Right-skewed variables were log-transformed.</w:t>
      </w:r>
    </w:p>
    <w:p>
      <w:pPr>
        <w:keepNext/>
        <w:spacing w:after="80" w:before="200"/>
        <w:jc w:val="center"/>
      </w:pPr>
      <w:r>
        <w:rPr>
          <w:rFonts w:ascii="Times New Roman" w:cs="Times New Roman" w:eastAsia="Times New Roman" w:hAnsi="Times New Roman"/>
          <w:i/>
          <w:iCs/>
          <w:sz w:val="20"/>
          <w:szCs w:val="20"/>
        </w:rPr>
        <w:t xml:space="preserve">Table 3. Engineered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cantSplit/>
          <w:tblHeader/>
        </w:trPr>
        <w:tc>
          <w:tcPr>
            <w:tcW w:type="dxa" w:w="22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Feature</w:t>
            </w:r>
          </w:p>
        </w:tc>
        <w:tc>
          <w:tcPr>
            <w:tcW w:type="dxa" w:w="4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Definition</w:t>
            </w:r>
          </w:p>
        </w:tc>
        <w:tc>
          <w:tcPr>
            <w:tcW w:type="dxa" w:w="34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Business meaning</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discount_pct</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(market price − sale price) / market price × 100</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Dependence on price promotion</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log_price</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log(1 + sale price)</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Price level</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price_index</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Sale price / median price of the sub-category</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Premium or economy position among peers</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brand_size</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Number of listings of the brand</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Breadth and strength of the brand</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type_size</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Number of listings of the product type</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Competition density</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rating_imp, rating_missing</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Imputed rating and its missing indicator</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Customer feedback and review traction</w:t>
            </w:r>
          </w:p>
        </w:tc>
      </w:tr>
      <w:tr>
        <w:trPr>
          <w:cantSplit/>
        </w:trPr>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desc_len</w:t>
            </w:r>
          </w:p>
        </w:tc>
        <w:tc>
          <w:tcPr>
            <w:tcW w:type="dxa" w:w="4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Words in the description</w:t>
            </w:r>
          </w:p>
        </w:tc>
        <w:tc>
          <w:tcPr>
            <w:tcW w:type="dxa" w:w="3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Richness of the listing</w:t>
            </w:r>
          </w:p>
        </w:tc>
      </w:tr>
    </w:tbl>
    <w:p>
      <w:pPr>
        <w:spacing w:after="120"/>
      </w:pPr>
    </w:p>
    <w:p>
      <w:pPr>
        <w:spacing w:after="140" w:line="300"/>
        <w:jc w:val="both"/>
      </w:pPr>
      <w:r>
        <w:rPr>
          <w:rFonts w:ascii="Times New Roman" w:cs="Times New Roman" w:eastAsia="Times New Roman" w:hAnsi="Times New Roman"/>
          <w:sz w:val="23"/>
          <w:szCs w:val="23"/>
        </w:rPr>
        <w:t xml:space="preserve">About 55.3 per cent of products carry some discount, with a mean discount of 11.8 per cent. The maximum discount is 83.7 per cent.</w:t>
      </w:r>
    </w:p>
    <w:p>
      <w:pPr>
        <w:pStyle w:val="Heading2"/>
        <w:spacing w:after="120" w:before="240"/>
      </w:pPr>
      <w:r>
        <w:rPr>
          <w:rFonts w:ascii="Times New Roman" w:cs="Times New Roman" w:eastAsia="Times New Roman" w:hAnsi="Times New Roman"/>
          <w:b/>
          <w:bCs/>
          <w:sz w:val="25"/>
          <w:szCs w:val="25"/>
        </w:rPr>
        <w:t xml:space="preserve">6.4 Outlier analysis</w:t>
      </w:r>
    </w:p>
    <w:p>
      <w:pPr>
        <w:spacing w:after="140" w:line="300"/>
        <w:jc w:val="both"/>
      </w:pPr>
      <w:r>
        <w:rPr>
          <w:rFonts w:ascii="Times New Roman" w:cs="Times New Roman" w:eastAsia="Times New Roman" w:hAnsi="Times New Roman"/>
          <w:sz w:val="23"/>
          <w:szCs w:val="23"/>
        </w:rPr>
        <w:t xml:space="preserve">Outliers were identified with the 1.5 × IQR rule (Table 4). Between 7 and 9 per cent of the price, brand-size and type-size values fall outside the fences, and the distributions are strongly right-skewed (skewness above 5 for the price variables).</w:t>
      </w:r>
    </w:p>
    <w:p>
      <w:pPr>
        <w:keepNext/>
        <w:spacing w:after="80" w:before="200"/>
        <w:jc w:val="center"/>
      </w:pPr>
      <w:r>
        <w:rPr>
          <w:rFonts w:ascii="Times New Roman" w:cs="Times New Roman" w:eastAsia="Times New Roman" w:hAnsi="Times New Roman"/>
          <w:i/>
          <w:iCs/>
          <w:sz w:val="20"/>
          <w:szCs w:val="20"/>
        </w:rPr>
        <w:t xml:space="preserve">Table 4. Outlier summary (1.5 × IQR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900"/>
        <w:gridCol w:w="1738"/>
      </w:tblGrid>
      <w:tr>
        <w:trPr>
          <w:cantSplit/>
          <w:tblHeader/>
        </w:trPr>
        <w:tc>
          <w:tcPr>
            <w:tcW w:type="dxa" w:w="26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Variable</w:t>
            </w:r>
          </w:p>
        </w:tc>
        <w:tc>
          <w:tcPr>
            <w:tcW w:type="dxa" w:w="17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Outliers</w:t>
            </w:r>
          </w:p>
        </w:tc>
        <w:tc>
          <w:tcPr>
            <w:tcW w:type="dxa" w:w="17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Percent</w:t>
            </w:r>
          </w:p>
        </w:tc>
        <w:tc>
          <w:tcPr>
            <w:tcW w:type="dxa" w:w="19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Upper fence</w:t>
            </w:r>
          </w:p>
        </w:tc>
        <w:tc>
          <w:tcPr>
            <w:tcW w:type="dxa" w:w="17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Skewness</w:t>
            </w:r>
          </w:p>
        </w:tc>
      </w:tr>
      <w:tr>
        <w:trPr>
          <w:cantSplit/>
        </w:trPr>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sale_price</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2,275</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8.4</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735.0</w:t>
            </w:r>
          </w:p>
        </w:tc>
        <w:tc>
          <w:tcPr>
            <w:tcW w:type="dxa" w:w="1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6.22</w:t>
            </w:r>
          </w:p>
        </w:tc>
      </w:tr>
      <w:tr>
        <w:trPr>
          <w:cantSplit/>
        </w:trPr>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market_price</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2,100</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7.7</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912.5</w:t>
            </w:r>
          </w:p>
        </w:tc>
        <w:tc>
          <w:tcPr>
            <w:tcW w:type="dxa" w:w="1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5.83</w:t>
            </w:r>
          </w:p>
        </w:tc>
      </w:tr>
      <w:tr>
        <w:trPr>
          <w:cantSplit/>
        </w:trPr>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discount_pct</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435</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1.6</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50.0</w:t>
            </w:r>
          </w:p>
        </w:tc>
        <w:tc>
          <w:tcPr>
            <w:tcW w:type="dxa" w:w="1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1.22</w:t>
            </w:r>
          </w:p>
        </w:tc>
      </w:tr>
      <w:tr>
        <w:trPr>
          <w:cantSplit/>
        </w:trPr>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brand_size</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2,338</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8.6</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152.0</w:t>
            </w:r>
          </w:p>
        </w:tc>
        <w:tc>
          <w:tcPr>
            <w:tcW w:type="dxa" w:w="1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3.31</w:t>
            </w:r>
          </w:p>
        </w:tc>
      </w:tr>
      <w:tr>
        <w:trPr>
          <w:cantSplit/>
        </w:trPr>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type_size</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1,987</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7.3</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462.5</w:t>
            </w:r>
          </w:p>
        </w:tc>
        <w:tc>
          <w:tcPr>
            <w:tcW w:type="dxa" w:w="1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3.14</w:t>
            </w:r>
          </w:p>
        </w:tc>
      </w:tr>
      <w:tr>
        <w:trPr>
          <w:cantSplit/>
        </w:trPr>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price_index</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1,969</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7.2</w:t>
            </w:r>
          </w:p>
        </w:tc>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3.3</w:t>
            </w:r>
          </w:p>
        </w:tc>
        <w:tc>
          <w:tcPr>
            <w:tcW w:type="dxa" w:w="1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6.31</w:t>
            </w:r>
          </w:p>
        </w:tc>
      </w:tr>
    </w:tbl>
    <w:p>
      <w:pPr>
        <w:spacing w:after="120"/>
      </w:pPr>
    </w:p>
    <w:p>
      <w:pPr>
        <w:spacing w:after="140" w:line="300"/>
        <w:jc w:val="both"/>
      </w:pPr>
      <w:r>
        <w:rPr>
          <w:rFonts w:ascii="Times New Roman" w:cs="Times New Roman" w:eastAsia="Times New Roman" w:hAnsi="Times New Roman"/>
          <w:b/>
          <w:bCs/>
          <w:sz w:val="23"/>
          <w:szCs w:val="23"/>
        </w:rPr>
        <w:t xml:space="preserve">Decision: retain and transform. </w:t>
      </w:r>
      <w:r>
        <w:rPr>
          <w:rFonts w:ascii="Times New Roman" w:cs="Times New Roman" w:eastAsia="Times New Roman" w:hAnsi="Times New Roman"/>
          <w:sz w:val="23"/>
          <w:szCs w:val="23"/>
        </w:rPr>
        <w:t xml:space="preserve">The extreme prices belong to genuine premium products, among them gas stoves, grooming appliances, imported perfumes, extra-virgin olive oil and bulk pet food, and are not data-entry errors. Deleting them would remove exactly the premium segment that management wants to identify. At the same time, leaving the skew untreated would let a small number of extreme values dominate the distance calculation. The log transform reduced the skewness of price, brand size, type size and price index to within ±0.2 while retaining every product (Figure 2). Discount percentage is bounded between 0 and 100, contains no impossible values and was left unchanged.</w:t>
      </w:r>
    </w:p>
    <w:p>
      <w:pPr>
        <w:keepNext/>
        <w:spacing w:after="40" w:before="120"/>
        <w:jc w:val="center"/>
      </w:pPr>
      <w:r>
        <w:drawing>
          <wp:inline distT="0" distB="0" distL="0" distR="0">
            <wp:extent cx="5619750" cy="2657475"/>
            <wp:effectExtent t="0" r="0" b="0" l="0"/>
            <wp:docPr id="1" name="02_outliers_before_after_log.png" descr="Figure 2. Box plots before (top) and after (bottom) the log transform" title="Figure 2. Box plots before (top) and after (bottom) the log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574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2. Box plots before (top) and after (bottom) the log transform</w:t>
      </w:r>
    </w:p>
    <w:p>
      <w:pPr>
        <w:pStyle w:val="Heading2"/>
        <w:spacing w:after="120" w:before="240"/>
      </w:pPr>
      <w:r>
        <w:rPr>
          <w:rFonts w:ascii="Times New Roman" w:cs="Times New Roman" w:eastAsia="Times New Roman" w:hAnsi="Times New Roman"/>
          <w:b/>
          <w:bCs/>
          <w:sz w:val="25"/>
          <w:szCs w:val="25"/>
        </w:rPr>
        <w:t xml:space="preserve">6.5 Encoding of categorical attributes</w:t>
      </w:r>
    </w:p>
    <w:p>
      <w:pPr>
        <w:spacing w:after="140" w:line="300"/>
        <w:jc w:val="both"/>
      </w:pPr>
      <w:r>
        <w:rPr>
          <w:rFonts w:ascii="Times New Roman" w:cs="Times New Roman" w:eastAsia="Times New Roman" w:hAnsi="Times New Roman"/>
          <w:sz w:val="23"/>
          <w:szCs w:val="23"/>
        </w:rPr>
        <w:t xml:space="preserve">The encoding was chosen according to the number of categories (Table 5). Label encoding was deliberately avoided for nominal attributes, since distance-based algorithms would interpret the arbitrary numbers as magnitudes and create false similarity between unrelated categories.</w:t>
      </w:r>
    </w:p>
    <w:p>
      <w:pPr>
        <w:keepNext/>
        <w:spacing w:after="80" w:before="200"/>
        <w:jc w:val="center"/>
      </w:pPr>
      <w:r>
        <w:rPr>
          <w:rFonts w:ascii="Times New Roman" w:cs="Times New Roman" w:eastAsia="Times New Roman" w:hAnsi="Times New Roman"/>
          <w:i/>
          <w:iCs/>
          <w:sz w:val="20"/>
          <w:szCs w:val="20"/>
        </w:rPr>
        <w:t xml:space="preserve">Table 5. Encoding of categorical 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600"/>
        <w:gridCol w:w="4238"/>
      </w:tblGrid>
      <w:tr>
        <w:trPr>
          <w:cantSplit/>
          <w:tblHeader/>
        </w:trPr>
        <w:tc>
          <w:tcPr>
            <w:tcW w:type="dxa" w:w="15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Attribute</w:t>
            </w:r>
          </w:p>
        </w:tc>
        <w:tc>
          <w:tcPr>
            <w:tcW w:type="dxa" w:w="13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Categories</w:t>
            </w:r>
          </w:p>
        </w:tc>
        <w:tc>
          <w:tcPr>
            <w:tcW w:type="dxa" w:w="26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Encoding</w:t>
            </w:r>
          </w:p>
        </w:tc>
        <w:tc>
          <w:tcPr>
            <w:tcW w:type="dxa" w:w="42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Justification</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category</w:t>
            </w:r>
          </w:p>
        </w:tc>
        <w:tc>
          <w:tcPr>
            <w:tcW w:type="dxa" w:w="13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11</w:t>
            </w:r>
          </w:p>
        </w:tc>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One-hot</w:t>
            </w:r>
          </w:p>
        </w:tc>
        <w:tc>
          <w:tcPr>
            <w:tcW w:type="dxa" w:w="4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Few values and no natural order; used in a comparison model and in profiling</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sub_category</w:t>
            </w:r>
          </w:p>
        </w:tc>
        <w:tc>
          <w:tcPr>
            <w:tcW w:type="dxa" w:w="13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90</w:t>
            </w:r>
          </w:p>
        </w:tc>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Relative-position features (price_index, type_size)</w:t>
            </w:r>
          </w:p>
        </w:tc>
        <w:tc>
          <w:tcPr>
            <w:tcW w:type="dxa" w:w="4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One-hot would add 90 sparse columns that dominate distances; the useful information is position within the sub-category</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brand</w:t>
            </w:r>
          </w:p>
        </w:tc>
        <w:tc>
          <w:tcPr>
            <w:tcW w:type="dxa" w:w="13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2,313</w:t>
            </w:r>
          </w:p>
        </w:tc>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Frequency (brand_size)</w:t>
            </w:r>
          </w:p>
        </w:tc>
        <w:tc>
          <w:tcPr>
            <w:tcW w:type="dxa" w:w="4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One-hot impractical; frequency measures how established a brand is</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type</w:t>
            </w:r>
          </w:p>
        </w:tc>
        <w:tc>
          <w:tcPr>
            <w:tcW w:type="dxa" w:w="13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426</w:t>
            </w:r>
          </w:p>
        </w:tc>
        <w:tc>
          <w:tcPr>
            <w:tcW w:type="dxa" w:w="2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Frequency (type_size)</w:t>
            </w:r>
          </w:p>
        </w:tc>
        <w:tc>
          <w:tcPr>
            <w:tcW w:type="dxa" w:w="4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Same reasoning as for brand</w:t>
            </w:r>
          </w:p>
        </w:tc>
      </w:tr>
    </w:tbl>
    <w:p>
      <w:pPr>
        <w:spacing w:after="120"/>
      </w:pPr>
    </w:p>
    <w:p>
      <w:pPr>
        <w:pStyle w:val="Heading2"/>
        <w:spacing w:after="120" w:before="240"/>
      </w:pPr>
      <w:r>
        <w:rPr>
          <w:rFonts w:ascii="Times New Roman" w:cs="Times New Roman" w:eastAsia="Times New Roman" w:hAnsi="Times New Roman"/>
          <w:b/>
          <w:bCs/>
          <w:sz w:val="25"/>
          <w:szCs w:val="25"/>
        </w:rPr>
        <w:t xml:space="preserve">6.6 Train–test split</w:t>
      </w:r>
    </w:p>
    <w:p>
      <w:pPr>
        <w:spacing w:after="140" w:line="300"/>
        <w:jc w:val="both"/>
      </w:pPr>
      <w:r>
        <w:rPr>
          <w:rFonts w:ascii="Times New Roman" w:cs="Times New Roman" w:eastAsia="Times New Roman" w:hAnsi="Times New Roman"/>
          <w:sz w:val="23"/>
          <w:szCs w:val="23"/>
        </w:rPr>
        <w:t xml:space="preserve">A conventional train–test split was not used. Clustering is unsupervised: there is no target variable, hence no test accuracy that could be inflated by fitting on the same data. The aim is to describe the structure of the complete catalogue, and withholding products would only reduce the number segmented. The reliability of the segmentation was instead assessed by a hold-out assignment test and a bootstrap stability analysis (Section 9.5).</w:t>
      </w:r>
    </w:p>
    <w:p>
      <w:pPr>
        <w:pStyle w:val="Heading2"/>
        <w:spacing w:after="120" w:before="240"/>
      </w:pPr>
      <w:r>
        <w:rPr>
          <w:rFonts w:ascii="Times New Roman" w:cs="Times New Roman" w:eastAsia="Times New Roman" w:hAnsi="Times New Roman"/>
          <w:b/>
          <w:bCs/>
          <w:sz w:val="25"/>
          <w:szCs w:val="25"/>
        </w:rPr>
        <w:t xml:space="preserve">6.7 Standardisation and its effect</w:t>
      </w:r>
    </w:p>
    <w:p>
      <w:pPr>
        <w:spacing w:after="140" w:line="300"/>
        <w:jc w:val="both"/>
      </w:pPr>
      <w:r>
        <w:rPr>
          <w:rFonts w:ascii="Times New Roman" w:cs="Times New Roman" w:eastAsia="Times New Roman" w:hAnsi="Times New Roman"/>
          <w:sz w:val="23"/>
          <w:szCs w:val="23"/>
        </w:rPr>
        <w:t xml:space="preserve">Distance-based clustering is sensitive to the scale of the variables. To demonstrate this, K-Means (K = 5) was fitted on the five selected features with and without standardisation. On the original scale, discount percentage accounts for 98.5 per cent of the total variance, while price, brand size, rating and the missing indicator together contribute 1.5 per cent. The unscaled clustering is therefore in effect a grouping on discount alone. Its agreement with the scaled clustering is low (Adjusted Rand Index 0.257), and its silhouette score of 0.619 is much higher than that of the scaled model (0.286), but the difference merely reflects the dominance of one variable and not better structure (Figure 3). All subsequent models use standardised features (zero mean, unit variance).</w:t>
      </w:r>
    </w:p>
    <w:p>
      <w:pPr>
        <w:keepNext/>
        <w:spacing w:after="40" w:before="120"/>
        <w:jc w:val="center"/>
      </w:pPr>
      <w:r>
        <w:drawing>
          <wp:inline distT="0" distB="0" distL="0" distR="0">
            <wp:extent cx="5334000" cy="1724025"/>
            <wp:effectExtent t="0" r="0" b="0" l="0"/>
            <wp:docPr id="1" name="06_effect_of_scaling.png" descr="Figure 3. Effect of standardisation on variance share (left) and cluster sizes (right)" title="Figure 3. Effect of standardisation on variance share (left) and cluster siz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240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3. Effect of standardisation on variance share (left) and cluster sizes (right)</w:t>
      </w:r>
    </w:p>
    <w:p>
      <w:pPr>
        <w:pStyle w:val="Heading1"/>
        <w:spacing w:after="160" w:before="360"/>
      </w:pPr>
      <w:r>
        <w:rPr>
          <w:rFonts w:ascii="Times New Roman" w:cs="Times New Roman" w:eastAsia="Times New Roman" w:hAnsi="Times New Roman"/>
          <w:b/>
          <w:bCs/>
          <w:sz w:val="30"/>
          <w:szCs w:val="30"/>
        </w:rPr>
        <w:t xml:space="preserve">7. Exploratory Data Analysis</w:t>
      </w:r>
    </w:p>
    <w:p>
      <w:pPr>
        <w:spacing w:after="140" w:line="300"/>
        <w:jc w:val="both"/>
      </w:pPr>
      <w:r>
        <w:rPr>
          <w:rFonts w:ascii="Times New Roman" w:cs="Times New Roman" w:eastAsia="Times New Roman" w:hAnsi="Times New Roman"/>
          <w:sz w:val="23"/>
          <w:szCs w:val="23"/>
        </w:rPr>
        <w:t xml:space="preserve">The catalogue is dominated by Beauty and Hygiene (7,683 products after cleaning), followed by Gourmet and World Food (4,677) and Kitchen, Garden and Pets (3,457). Sale prices are concentrated at low values, with a long tail of expensive items, and about 45 per cent of products are sold at the printed price (Figure 4).</w:t>
      </w:r>
    </w:p>
    <w:p>
      <w:pPr>
        <w:keepNext/>
        <w:spacing w:after="40" w:before="120"/>
        <w:jc w:val="center"/>
      </w:pPr>
      <w:r>
        <w:drawing>
          <wp:inline distT="0" distB="0" distL="0" distR="0">
            <wp:extent cx="5810250" cy="1704975"/>
            <wp:effectExtent t="0" r="0" b="0" l="0"/>
            <wp:docPr id="1" name="03_eda_category_price_discount.png" descr="Figure 4. Listings per category, sale price distribution and discount distribution" title="Figure 4. Listings per category, sale price distribution and discou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7049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4. Listings per category, sale price distribution and discount distribution</w:t>
      </w:r>
    </w:p>
    <w:p>
      <w:pPr>
        <w:spacing w:after="140" w:line="300"/>
        <w:jc w:val="both"/>
      </w:pPr>
      <w:r>
        <w:rPr>
          <w:rFonts w:ascii="Times New Roman" w:cs="Times New Roman" w:eastAsia="Times New Roman" w:hAnsi="Times New Roman"/>
          <w:sz w:val="23"/>
          <w:szCs w:val="23"/>
        </w:rPr>
        <w:t xml:space="preserve">Discounting differs sharply between categories (Figure 5). Kitchen, Garden and Pets (mean discount 22.6 per cent, 78 per cent of items discounted) and Fruits and Vegetables (21.3 per cent, 97 per cent discounted) are promoted heavily, while Baby Care (5.9 per cent), Snacks and Branded Foods (6.6 per cent) and Bakery, Cakes and Dairy (7.6 per cent) are mostly sold at the printed price. Category alone therefore captures part of the story, but a wide spread remains inside every category.</w:t>
      </w:r>
    </w:p>
    <w:p>
      <w:pPr>
        <w:keepNext/>
        <w:spacing w:after="40" w:before="120"/>
        <w:jc w:val="center"/>
      </w:pPr>
      <w:r>
        <w:drawing>
          <wp:inline distT="0" distB="0" distL="0" distR="0">
            <wp:extent cx="4286250" cy="2143125"/>
            <wp:effectExtent t="0" r="0" b="0" l="0"/>
            <wp:docPr id="1" name="04_discount_by_category.png" descr="Figure 5. Discount percentage by category" title="Figure 5. Discount percentag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1431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 Discount percentage by category</w:t>
      </w:r>
    </w:p>
    <w:p>
      <w:pPr>
        <w:spacing w:after="140" w:line="300"/>
        <w:jc w:val="both"/>
      </w:pPr>
      <w:r>
        <w:rPr>
          <w:rFonts w:ascii="Times New Roman" w:cs="Times New Roman" w:eastAsia="Times New Roman" w:hAnsi="Times New Roman"/>
          <w:sz w:val="23"/>
          <w:szCs w:val="23"/>
        </w:rPr>
        <w:t xml:space="preserve">Figure 6 shows the correlation between the engineered features. Log price and log price index are strongly correlated (0.81), so only log price is used in the main model to avoid giving price double weight. The missing-rating indicator is mildly associated with higher prices (0.19), which suggests that expensive items are slower to attract reviews.</w:t>
      </w:r>
    </w:p>
    <w:p>
      <w:pPr>
        <w:keepNext/>
        <w:spacing w:after="40" w:before="120"/>
        <w:jc w:val="center"/>
      </w:pPr>
      <w:r>
        <w:drawing>
          <wp:inline distT="0" distB="0" distL="0" distR="0">
            <wp:extent cx="3810000" cy="3333750"/>
            <wp:effectExtent t="0" r="0" b="0" l="0"/>
            <wp:docPr id="1" name="05_correlation_heatmap.png" descr="Figure 6. Correlation matrix of the engineered features" title="Figure 6. Correlation matrix of the engineer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3337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6. Correlation matrix of the engineered features</w:t>
      </w:r>
    </w:p>
    <w:p>
      <w:pPr>
        <w:pStyle w:val="Heading1"/>
        <w:spacing w:after="160" w:before="360"/>
      </w:pPr>
      <w:r>
        <w:rPr>
          <w:rFonts w:ascii="Times New Roman" w:cs="Times New Roman" w:eastAsia="Times New Roman" w:hAnsi="Times New Roman"/>
          <w:b/>
          <w:bCs/>
          <w:sz w:val="30"/>
          <w:szCs w:val="30"/>
        </w:rPr>
        <w:t xml:space="preserve">8. Model Development</w:t>
      </w:r>
    </w:p>
    <w:p>
      <w:pPr>
        <w:pStyle w:val="Heading2"/>
        <w:spacing w:after="120" w:before="240"/>
      </w:pPr>
      <w:r>
        <w:rPr>
          <w:rFonts w:ascii="Times New Roman" w:cs="Times New Roman" w:eastAsia="Times New Roman" w:hAnsi="Times New Roman"/>
          <w:b/>
          <w:bCs/>
          <w:sz w:val="25"/>
          <w:szCs w:val="25"/>
        </w:rPr>
        <w:t xml:space="preserve">8.1 Selection of features</w:t>
      </w:r>
    </w:p>
    <w:p>
      <w:pPr>
        <w:spacing w:after="140" w:line="300"/>
        <w:jc w:val="both"/>
      </w:pPr>
      <w:r>
        <w:rPr>
          <w:rFonts w:ascii="Times New Roman" w:cs="Times New Roman" w:eastAsia="Times New Roman" w:hAnsi="Times New Roman"/>
          <w:sz w:val="23"/>
          <w:szCs w:val="23"/>
        </w:rPr>
        <w:t xml:space="preserve">The main model uses five features that describe different aspects of behaviour and are not strongly collinear: log price, discount percentage, log brand size, imputed rating and the missing-rating indicator. Several alternatives were tested with K-Means at K = 5 (Table 6, Figure 7).</w:t>
      </w:r>
    </w:p>
    <w:p>
      <w:pPr>
        <w:keepNext/>
        <w:spacing w:after="80" w:before="200"/>
        <w:jc w:val="center"/>
      </w:pPr>
      <w:r>
        <w:rPr>
          <w:rFonts w:ascii="Times New Roman" w:cs="Times New Roman" w:eastAsia="Times New Roman" w:hAnsi="Times New Roman"/>
          <w:i/>
          <w:iCs/>
          <w:sz w:val="20"/>
          <w:szCs w:val="20"/>
        </w:rPr>
        <w:t xml:space="preserve">Table 6. Comparison of feature sets (K-Means, K =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838"/>
      </w:tblGrid>
      <w:tr>
        <w:trPr>
          <w:cantSplit/>
          <w:tblHeader/>
        </w:trPr>
        <w:tc>
          <w:tcPr>
            <w:tcW w:type="dxa" w:w="32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Feature set</w:t>
            </w:r>
          </w:p>
        </w:tc>
        <w:tc>
          <w:tcPr>
            <w:tcW w:type="dxa" w:w="12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Features</w:t>
            </w:r>
          </w:p>
        </w:tc>
        <w:tc>
          <w:tcPr>
            <w:tcW w:type="dxa" w:w="16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Silhouette</w:t>
            </w:r>
          </w:p>
        </w:tc>
        <w:tc>
          <w:tcPr>
            <w:tcW w:type="dxa" w:w="18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Davies–Bouldin</w:t>
            </w:r>
          </w:p>
        </w:tc>
        <w:tc>
          <w:tcPr>
            <w:tcW w:type="dxa" w:w="18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Calinski–Harabasz</w:t>
            </w:r>
          </w:p>
        </w:tc>
      </w:tr>
      <w:tr>
        <w:trPr>
          <w:cantSplit/>
        </w:trPr>
        <w:tc>
          <w:tcPr>
            <w:tcW w:type="dxa" w:w="3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 price + discount</w:t>
            </w:r>
          </w:p>
        </w:tc>
        <w:tc>
          <w:tcPr>
            <w:tcW w:type="dxa" w:w="1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0.376</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0.913</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20,295</w:t>
            </w:r>
          </w:p>
        </w:tc>
      </w:tr>
      <w:tr>
        <w:trPr>
          <w:cantSplit/>
        </w:trPr>
        <w:tc>
          <w:tcPr>
            <w:tcW w:type="dxa" w:w="3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 A + relative price</w:t>
            </w:r>
          </w:p>
        </w:tc>
        <w:tc>
          <w:tcPr>
            <w:tcW w:type="dxa" w:w="1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0.323</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0.999</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15,836</w:t>
            </w:r>
          </w:p>
        </w:tc>
      </w:tr>
      <w:tr>
        <w:trPr>
          <w:cantSplit/>
        </w:trPr>
        <w:tc>
          <w:tcPr>
            <w:tcW w:type="dxa" w:w="3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 all commercial features</w:t>
            </w:r>
          </w:p>
        </w:tc>
        <w:tc>
          <w:tcPr>
            <w:tcW w:type="dxa" w:w="1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0.184</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1.548</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4,870</w:t>
            </w:r>
          </w:p>
        </w:tc>
      </w:tr>
      <w:tr>
        <w:trPr>
          <w:cantSplit/>
        </w:trPr>
        <w:tc>
          <w:tcPr>
            <w:tcW w:type="dxa" w:w="3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 C + description length</w:t>
            </w:r>
          </w:p>
        </w:tc>
        <w:tc>
          <w:tcPr>
            <w:tcW w:type="dxa" w:w="1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8</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0.158</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1.718</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3,986</w:t>
            </w:r>
          </w:p>
        </w:tc>
      </w:tr>
      <w:tr>
        <w:trPr>
          <w:cantSplit/>
        </w:trPr>
        <w:tc>
          <w:tcPr>
            <w:tcW w:type="dxa" w:w="3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 selected (main model)</w:t>
            </w:r>
          </w:p>
        </w:tc>
        <w:tc>
          <w:tcPr>
            <w:tcW w:type="dxa" w:w="1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0.286</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1.272</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7,339</w:t>
            </w:r>
          </w:p>
        </w:tc>
      </w:tr>
      <w:tr>
        <w:trPr>
          <w:cantSplit/>
        </w:trPr>
        <w:tc>
          <w:tcPr>
            <w:tcW w:type="dxa" w:w="3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H: G + one-hot category</w:t>
            </w:r>
          </w:p>
        </w:tc>
        <w:tc>
          <w:tcPr>
            <w:tcW w:type="dxa" w:w="1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16</w:t>
            </w:r>
          </w:p>
        </w:tc>
        <w:tc>
          <w:tcPr>
            <w:tcW w:type="dxa" w:w="16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0.216</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1.460</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3,094</w:t>
            </w:r>
          </w:p>
        </w:tc>
      </w:tr>
    </w:tbl>
    <w:p>
      <w:pPr>
        <w:spacing w:after="120"/>
      </w:pPr>
    </w:p>
    <w:p>
      <w:pPr>
        <w:keepNext/>
        <w:spacing w:after="40" w:before="120"/>
        <w:jc w:val="center"/>
      </w:pPr>
      <w:r>
        <w:drawing>
          <wp:inline distT="0" distB="0" distL="0" distR="0">
            <wp:extent cx="4286250" cy="1762125"/>
            <wp:effectExtent t="0" r="0" b="0" l="0"/>
            <wp:docPr id="1" name="08_feature_set_comparison.png" descr="Figure 7. Silhouette score for each feature set" title="Figure 7. Silhouette score for each featur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17621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7. Silhouette score for each feature set</w:t>
      </w:r>
    </w:p>
    <w:p>
      <w:pPr>
        <w:spacing w:after="140" w:line="300"/>
        <w:jc w:val="both"/>
      </w:pPr>
      <w:r>
        <w:rPr>
          <w:rFonts w:ascii="Times New Roman" w:cs="Times New Roman" w:eastAsia="Times New Roman" w:hAnsi="Times New Roman"/>
          <w:sz w:val="23"/>
          <w:szCs w:val="23"/>
        </w:rPr>
        <w:t xml:space="preserve">Set A reaches a higher silhouette score, but only because two variables are easy to separate; it cannot reflect customer feedback, review traction or brand strength, which are the signals needed to discuss demand. Adding further correlated variables (sets B, C and D) lowers the score because price-related columns are counted several times. Adding the one-hot category (set H) makes the result depend largely on category membership, which is the category-based planning that this project aims to improve on. Set G has the best indices among the sets that represent price, discount, brand and customer feedback together. Silhouette values are not strictly comparable across different feature spaces, so this comparison was treated as supporting evidence and read together with the interpretability of the segments.</w:t>
      </w:r>
    </w:p>
    <w:p>
      <w:pPr>
        <w:pStyle w:val="Heading2"/>
        <w:spacing w:after="120" w:before="240"/>
      </w:pPr>
      <w:r>
        <w:rPr>
          <w:rFonts w:ascii="Times New Roman" w:cs="Times New Roman" w:eastAsia="Times New Roman" w:hAnsi="Times New Roman"/>
          <w:b/>
          <w:bCs/>
          <w:sz w:val="25"/>
          <w:szCs w:val="25"/>
        </w:rPr>
        <w:t xml:space="preserve">8.2 K-Means and the choice of K</w:t>
      </w:r>
    </w:p>
    <w:p>
      <w:pPr>
        <w:spacing w:after="140" w:line="300"/>
        <w:jc w:val="both"/>
      </w:pPr>
      <w:r>
        <w:rPr>
          <w:rFonts w:ascii="Times New Roman" w:cs="Times New Roman" w:eastAsia="Times New Roman" w:hAnsi="Times New Roman"/>
          <w:sz w:val="23"/>
          <w:szCs w:val="23"/>
        </w:rPr>
        <w:t xml:space="preserve">K-Means with k-means++ initialisation and ten restarts was run for K = 2 to 10 (Table 7, Figure 8). The silhouette score was estimated on a fixed random sample of 10,000 products, since the exact calculation requires a full distance matrix.</w:t>
      </w:r>
    </w:p>
    <w:p>
      <w:pPr>
        <w:keepNext/>
        <w:spacing w:after="80" w:before="200"/>
        <w:jc w:val="center"/>
      </w:pPr>
      <w:r>
        <w:rPr>
          <w:rFonts w:ascii="Times New Roman" w:cs="Times New Roman" w:eastAsia="Times New Roman" w:hAnsi="Times New Roman"/>
          <w:i/>
          <w:iCs/>
          <w:sz w:val="20"/>
          <w:szCs w:val="20"/>
        </w:rPr>
        <w:t xml:space="preserve">Table 7. K-Means results for K = 2 to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200"/>
        <w:gridCol w:w="2438"/>
      </w:tblGrid>
      <w:tr>
        <w:trPr>
          <w:cantSplit/>
          <w:tblHeader/>
        </w:trPr>
        <w:tc>
          <w:tcPr>
            <w:tcW w:type="dxa" w:w="1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K</w:t>
            </w:r>
          </w:p>
        </w:tc>
        <w:tc>
          <w:tcPr>
            <w:tcW w:type="dxa" w:w="2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Inertia</w:t>
            </w:r>
          </w:p>
        </w:tc>
        <w:tc>
          <w:tcPr>
            <w:tcW w:type="dxa" w:w="2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Silhouette</w:t>
            </w:r>
          </w:p>
        </w:tc>
        <w:tc>
          <w:tcPr>
            <w:tcW w:type="dxa" w:w="22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Davies–Bouldin</w:t>
            </w:r>
          </w:p>
        </w:tc>
        <w:tc>
          <w:tcPr>
            <w:tcW w:type="dxa" w:w="24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9"/>
                <w:szCs w:val="19"/>
              </w:rPr>
              <w:t xml:space="preserve">Calinski–Harabasz</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107,072</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0.268</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1.600</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7,348</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90,124</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0.261</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1.617</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6,922</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4</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74,402</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0.283</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1.287</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7,505</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65,402</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0.286</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1.272</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7,339</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58,135</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0.252</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1.292</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7,285</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54,001</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0.241</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1.239</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6,882</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50,731</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0.222</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1.316</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6,529</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9</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47,563</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0.245</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1.213</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6,319</w:t>
            </w:r>
          </w:p>
        </w:tc>
      </w:tr>
      <w:tr>
        <w:trPr>
          <w:cantSplit/>
        </w:trPr>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44,693</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0.226</w:t>
            </w:r>
          </w:p>
        </w:tc>
        <w:tc>
          <w:tcPr>
            <w:tcW w:type="dxa" w:w="22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1.241</w:t>
            </w:r>
          </w:p>
        </w:tc>
        <w:tc>
          <w:tcPr>
            <w:tcW w:type="dxa" w:w="24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9"/>
                <w:szCs w:val="19"/>
              </w:rPr>
              <w:t xml:space="preserve">6,172</w:t>
            </w:r>
          </w:p>
        </w:tc>
      </w:tr>
    </w:tbl>
    <w:p>
      <w:pPr>
        <w:spacing w:after="120"/>
      </w:pPr>
    </w:p>
    <w:p>
      <w:pPr>
        <w:keepNext/>
        <w:spacing w:after="40" w:before="120"/>
        <w:jc w:val="center"/>
      </w:pPr>
      <w:r>
        <w:drawing>
          <wp:inline distT="0" distB="0" distL="0" distR="0">
            <wp:extent cx="5810250" cy="1514475"/>
            <wp:effectExtent t="0" r="0" b="0" l="0"/>
            <wp:docPr id="1" name="07_elbow_silhouette_davies_bouldin.png" descr="Figure 8. Elbow plot, silhouette score and Davies–Bouldin index for K = 2 to 10" title="Figure 8. Elbow plot, silhouette score and Davies–Bouldin index for K = 2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5144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8. Elbow plot, silhouette score and Davies–Bouldin index for K = 2 to 10</w:t>
      </w:r>
    </w:p>
    <w:p>
      <w:pPr>
        <w:spacing w:after="140" w:line="300"/>
        <w:jc w:val="both"/>
      </w:pPr>
      <w:r>
        <w:rPr>
          <w:rFonts w:ascii="Times New Roman" w:cs="Times New Roman" w:eastAsia="Times New Roman" w:hAnsi="Times New Roman"/>
          <w:sz w:val="23"/>
          <w:szCs w:val="23"/>
        </w:rPr>
        <w:t xml:space="preserve">The elbow criterion, defined as the largest perpendicular distance from the line joining the end points of the inertia curve, detects K = 5. The silhouette score is highest at K = 5 (0.286), with K = 4 very close (0.283), and falls for larger K. The Davies–Bouldin index is similar at K = 4 and K = 5 (1.29 and 1.27) and is slightly lower for some larger K, but only where the silhouette score has already declined and the segments become too fragmented to act upon. K = 5 was chosen because it agrees with the elbow and the silhouette peak, and because it separates the heavily discounted products into two commercially different groups that K = 4 would merge.</w:t>
      </w:r>
    </w:p>
    <w:p>
      <w:pPr>
        <w:pStyle w:val="Heading2"/>
        <w:spacing w:after="120" w:before="240"/>
      </w:pPr>
      <w:r>
        <w:rPr>
          <w:rFonts w:ascii="Times New Roman" w:cs="Times New Roman" w:eastAsia="Times New Roman" w:hAnsi="Times New Roman"/>
          <w:b/>
          <w:bCs/>
          <w:sz w:val="25"/>
          <w:szCs w:val="25"/>
        </w:rPr>
        <w:t xml:space="preserve">8.3 Hierarchical clustering and Gaussian mixture</w:t>
      </w:r>
    </w:p>
    <w:p>
      <w:pPr>
        <w:spacing w:after="140" w:line="300"/>
        <w:jc w:val="both"/>
      </w:pPr>
      <w:r>
        <w:rPr>
          <w:rFonts w:ascii="Times New Roman" w:cs="Times New Roman" w:eastAsia="Times New Roman" w:hAnsi="Times New Roman"/>
          <w:sz w:val="23"/>
          <w:szCs w:val="23"/>
        </w:rPr>
        <w:t xml:space="preserve">Agglomerative clustering requires the full pairwise distance matrix, which for 27,200 products would occupy about 6 GB. The hierarchical methods were therefore run on a random sample of 6,000 products, and K-Means and the Gaussian mixture were refitted on the same sample so that all methods are compared on identical data. The Ward dendrogram (Figure 9) shows that the merge distance rises steeply over the last few merges, from about 50 to 100, which supports four to five groups.</w:t>
      </w:r>
    </w:p>
    <w:p>
      <w:pPr>
        <w:keepNext/>
        <w:spacing w:after="40" w:before="120"/>
        <w:jc w:val="center"/>
      </w:pPr>
      <w:r>
        <w:drawing>
          <wp:inline distT="0" distB="0" distL="0" distR="0">
            <wp:extent cx="4953000" cy="2619375"/>
            <wp:effectExtent t="0" r="0" b="0" l="0"/>
            <wp:docPr id="1" name="09_dendrogram_ward.png" descr="Figure 9. Ward dendrogram on a 6,000-product sample (dashed line: five-cluster cut)" title="Figure 9. Ward dendrogram on a 6,000-product sample (dashed line: five-cluster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193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9. Ward dendrogram on a 6,000-product sample (dashed line: five-cluster cut)</w:t>
      </w:r>
    </w:p>
    <w:p>
      <w:pPr>
        <w:keepNext/>
        <w:spacing w:after="80" w:before="200"/>
        <w:jc w:val="center"/>
      </w:pPr>
      <w:r>
        <w:rPr>
          <w:rFonts w:ascii="Times New Roman" w:cs="Times New Roman" w:eastAsia="Times New Roman" w:hAnsi="Times New Roman"/>
          <w:i/>
          <w:iCs/>
          <w:sz w:val="20"/>
          <w:szCs w:val="20"/>
        </w:rPr>
        <w:t xml:space="preserve">Table 8. Comparison of clustering solutions on the 6,000-product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700"/>
        <w:gridCol w:w="1800"/>
        <w:gridCol w:w="1838"/>
      </w:tblGrid>
      <w:tr>
        <w:trPr>
          <w:cantSplit/>
          <w:tblHeader/>
        </w:trPr>
        <w:tc>
          <w:tcPr>
            <w:tcW w:type="dxa" w:w="29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Solution</w:t>
            </w:r>
          </w:p>
        </w:tc>
        <w:tc>
          <w:tcPr>
            <w:tcW w:type="dxa" w:w="14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8"/>
                <w:szCs w:val="18"/>
              </w:rPr>
              <w:t xml:space="preserve">Silhouette</w:t>
            </w:r>
          </w:p>
        </w:tc>
        <w:tc>
          <w:tcPr>
            <w:tcW w:type="dxa" w:w="17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8"/>
                <w:szCs w:val="18"/>
              </w:rPr>
              <w:t xml:space="preserve">Davies–Bouldin</w:t>
            </w:r>
          </w:p>
        </w:tc>
        <w:tc>
          <w:tcPr>
            <w:tcW w:type="dxa" w:w="18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8"/>
                <w:szCs w:val="18"/>
              </w:rPr>
              <w:t xml:space="preserve">Calinski–Harabasz</w:t>
            </w:r>
          </w:p>
        </w:tc>
        <w:tc>
          <w:tcPr>
            <w:tcW w:type="dxa" w:w="18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8"/>
                <w:szCs w:val="18"/>
              </w:rPr>
              <w:t xml:space="preserve">Smallest / largest cluster</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K-Means, K = 4</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0.286</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1.272</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1,657</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582 / 2,824</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K-Means, K = 5</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0.291</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1.266</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1,625</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496 / 2,485</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K-Means, K = 6</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0.252</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1.290</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1,610</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433 / 1,375</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Ward, K = 4</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0.265</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1.316</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1,408</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225 / 3,185</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Ward, K = 5</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0.266</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1.296</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1,347</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225 / 3,185</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Average linkage, K = 5</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0.236</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0.940</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160</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 / 5,823</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Complete linkage, K = 5</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0.174</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1.590</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828</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264 / 3,803</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Gaussian mixture, K = 4</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0.163</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1.858</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1,070</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899 / 2,311</w:t>
            </w:r>
          </w:p>
        </w:tc>
      </w:tr>
      <w:tr>
        <w:trPr>
          <w:cantSplit/>
        </w:trPr>
        <w:tc>
          <w:tcPr>
            <w:tcW w:type="dxa" w:w="2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Gaussian mixture, K = 5</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0.114</w:t>
            </w:r>
          </w:p>
        </w:tc>
        <w:tc>
          <w:tcPr>
            <w:tcW w:type="dxa" w:w="1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2.174</w:t>
            </w:r>
          </w:p>
        </w:tc>
        <w:tc>
          <w:tcPr>
            <w:tcW w:type="dxa" w:w="18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905</w:t>
            </w:r>
          </w:p>
        </w:tc>
        <w:tc>
          <w:tcPr>
            <w:tcW w:type="dxa" w:w="18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8"/>
                <w:szCs w:val="18"/>
              </w:rPr>
              <w:t xml:space="preserve">899 / 1,811</w:t>
            </w:r>
          </w:p>
        </w:tc>
      </w:tr>
    </w:tbl>
    <w:p>
      <w:pPr>
        <w:spacing w:after="120"/>
      </w:pPr>
    </w:p>
    <w:p>
      <w:pPr>
        <w:keepNext/>
        <w:spacing w:after="40" w:before="120"/>
        <w:jc w:val="center"/>
      </w:pPr>
      <w:r>
        <w:drawing>
          <wp:inline distT="0" distB="0" distL="0" distR="0">
            <wp:extent cx="5334000" cy="1714500"/>
            <wp:effectExtent t="0" r="0" b="0" l="0"/>
            <wp:docPr id="1" name="10_model_comparison.png" descr="Figure 10. Silhouette score and Davies–Bouldin index of the candidate solutions" title="Figure 10. Silhouette score and Davies–Bouldin index of the candidat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714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10. Silhouette score and Davies–Bouldin index of the candidate solutions</w:t>
      </w:r>
    </w:p>
    <w:p>
      <w:pPr>
        <w:spacing w:after="140" w:line="300"/>
        <w:jc w:val="both"/>
      </w:pPr>
      <w:r>
        <w:rPr>
          <w:rFonts w:ascii="Times New Roman" w:cs="Times New Roman" w:eastAsia="Times New Roman" w:hAnsi="Times New Roman"/>
          <w:sz w:val="23"/>
          <w:szCs w:val="23"/>
        </w:rPr>
        <w:t xml:space="preserve">K-Means with K = 5 has the highest silhouette score and the lowest Davies–Bouldin index among the sensible candidates. Ward clustering is slightly weaker (silhouette about 0.27) and is a reasonable second choice. Average linkage reaches a low Davies–Bouldin value only by creating a degenerate cluster containing a single product, so its apparent quality is not useful. Complete linkage performs poorly. The Gaussian mixture has the weakest separation, probably because the binary missing-rating indicator does not follow a Gaussian distribution.</w:t>
      </w:r>
    </w:p>
    <w:p>
      <w:pPr>
        <w:pStyle w:val="Heading2"/>
        <w:spacing w:after="120" w:before="240"/>
      </w:pPr>
      <w:r>
        <w:rPr>
          <w:rFonts w:ascii="Times New Roman" w:cs="Times New Roman" w:eastAsia="Times New Roman" w:hAnsi="Times New Roman"/>
          <w:b/>
          <w:bCs/>
          <w:sz w:val="25"/>
          <w:szCs w:val="25"/>
        </w:rPr>
        <w:t xml:space="preserve">8.4 Principal component analysis</w:t>
      </w:r>
    </w:p>
    <w:p>
      <w:pPr>
        <w:spacing w:after="140" w:line="300"/>
        <w:jc w:val="both"/>
      </w:pPr>
      <w:r>
        <w:rPr>
          <w:rFonts w:ascii="Times New Roman" w:cs="Times New Roman" w:eastAsia="Times New Roman" w:hAnsi="Times New Roman"/>
          <w:sz w:val="23"/>
          <w:szCs w:val="23"/>
        </w:rPr>
        <w:t xml:space="preserve">PCA of the standardised features shows that the variance is spread almost evenly: the five components explain 26.7, 23.2, 21.8, 16.0 and 12.3 per cent, and the first two together explain 49.9 per cent (Figure 11). The features therefore carry largely independent information, and reducing the dimensionality would discard useful signal. PCA was used only to visualise the clusters.</w:t>
      </w:r>
    </w:p>
    <w:p>
      <w:pPr>
        <w:keepNext/>
        <w:spacing w:after="40" w:before="120"/>
        <w:jc w:val="center"/>
      </w:pPr>
      <w:r>
        <w:drawing>
          <wp:inline distT="0" distB="0" distL="0" distR="0">
            <wp:extent cx="3143250" cy="2133600"/>
            <wp:effectExtent t="0" r="0" b="0" l="0"/>
            <wp:docPr id="1" name="11_pca_scree.png" descr="Figure 11. PCA scree plot" title="Figure 11. PCA scre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1336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11. PCA scree plot</w:t>
      </w:r>
    </w:p>
    <w:p>
      <w:pPr>
        <w:pStyle w:val="Heading1"/>
        <w:spacing w:after="160" w:before="360"/>
      </w:pPr>
      <w:r>
        <w:rPr>
          <w:rFonts w:ascii="Times New Roman" w:cs="Times New Roman" w:eastAsia="Times New Roman" w:hAnsi="Times New Roman"/>
          <w:b/>
          <w:bCs/>
          <w:sz w:val="30"/>
          <w:szCs w:val="30"/>
        </w:rPr>
        <w:t xml:space="preserve">9. Results and Evaluation</w:t>
      </w:r>
    </w:p>
    <w:p>
      <w:pPr>
        <w:pStyle w:val="Heading2"/>
        <w:spacing w:after="120" w:before="240"/>
      </w:pPr>
      <w:r>
        <w:rPr>
          <w:rFonts w:ascii="Times New Roman" w:cs="Times New Roman" w:eastAsia="Times New Roman" w:hAnsi="Times New Roman"/>
          <w:b/>
          <w:bCs/>
          <w:sz w:val="25"/>
          <w:szCs w:val="25"/>
        </w:rPr>
        <w:t xml:space="preserve">9.1 Final model</w:t>
      </w:r>
    </w:p>
    <w:p>
      <w:pPr>
        <w:spacing w:after="140" w:line="300"/>
        <w:jc w:val="both"/>
      </w:pPr>
      <w:r>
        <w:rPr>
          <w:rFonts w:ascii="Times New Roman" w:cs="Times New Roman" w:eastAsia="Times New Roman" w:hAnsi="Times New Roman"/>
          <w:sz w:val="23"/>
          <w:szCs w:val="23"/>
        </w:rPr>
        <w:t xml:space="preserve">The final model is K-Means with K = 5, fitted to the 27,200 standardised products with twenty restarts. Its internal quality is a silhouette score of 0.286, a Davies–Bouldin index of 1.27 and a Calinski–Harabasz index of 7,339. A silhouette near 0.29 indicates moderate and overlapping structure, which is expected for commercial attributes that vary continuously; the segments should therefore be used as planning groups and not as rigid classes. The clusters occupy distinct regions in the first two principal components but overlap near the centre (Figure 12), and their sizes are shown in Figure 13.</w:t>
      </w:r>
    </w:p>
    <w:p>
      <w:pPr>
        <w:keepNext/>
        <w:spacing w:after="40" w:before="120"/>
        <w:jc w:val="center"/>
      </w:pPr>
      <w:r>
        <w:drawing>
          <wp:inline distT="0" distB="0" distL="0" distR="0">
            <wp:extent cx="3810000" cy="2867025"/>
            <wp:effectExtent t="0" r="0" b="0" l="0"/>
            <wp:docPr id="1" name="12_pca_cluster_plot.png" descr="Figure 12. Clusters projected onto the first two principal components (6,000-product sample)" title="Figure 12. Clusters projected onto the first two principal components (6,000-product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8670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12. Clusters projected onto the first two principal components (6,000-product sample)</w:t>
      </w:r>
    </w:p>
    <w:p>
      <w:pPr>
        <w:keepNext/>
        <w:spacing w:after="40" w:before="120"/>
        <w:jc w:val="center"/>
      </w:pPr>
      <w:r>
        <w:drawing>
          <wp:inline distT="0" distB="0" distL="0" distR="0">
            <wp:extent cx="3238500" cy="1885950"/>
            <wp:effectExtent t="0" r="0" b="0" l="0"/>
            <wp:docPr id="1" name="13_cluster_sizes.png" descr="Figure 13. Cluster-size distribution" title="Figure 13. Cluster-siz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18859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13. Cluster-size distribution</w:t>
      </w:r>
    </w:p>
    <w:p>
      <w:pPr>
        <w:pStyle w:val="Heading2"/>
        <w:spacing w:after="120" w:before="240"/>
      </w:pPr>
      <w:r>
        <w:rPr>
          <w:rFonts w:ascii="Times New Roman" w:cs="Times New Roman" w:eastAsia="Times New Roman" w:hAnsi="Times New Roman"/>
          <w:b/>
          <w:bCs/>
          <w:sz w:val="25"/>
          <w:szCs w:val="25"/>
        </w:rPr>
        <w:t xml:space="preserve">9.2 Cluster profiles</w:t>
      </w:r>
    </w:p>
    <w:p>
      <w:pPr>
        <w:keepNext/>
        <w:spacing w:after="80" w:before="200"/>
        <w:jc w:val="center"/>
      </w:pPr>
      <w:r>
        <w:rPr>
          <w:rFonts w:ascii="Times New Roman" w:cs="Times New Roman" w:eastAsia="Times New Roman" w:hAnsi="Times New Roman"/>
          <w:i/>
          <w:iCs/>
          <w:sz w:val="20"/>
          <w:szCs w:val="20"/>
        </w:rPr>
        <w:t xml:space="preserve">Table 9. Profile of the five segments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100"/>
        <w:gridCol w:w="1100"/>
        <w:gridCol w:w="1100"/>
        <w:gridCol w:w="1000"/>
        <w:gridCol w:w="1238"/>
      </w:tblGrid>
      <w:tr>
        <w:trPr>
          <w:cantSplit/>
          <w:tblHeader/>
        </w:trPr>
        <w:tc>
          <w:tcPr>
            <w:tcW w:type="dxa" w:w="27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7"/>
                <w:szCs w:val="17"/>
              </w:rPr>
              <w:t xml:space="preserve">Segment</w:t>
            </w:r>
          </w:p>
        </w:tc>
        <w:tc>
          <w:tcPr>
            <w:tcW w:type="dxa" w:w="14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7"/>
                <w:szCs w:val="17"/>
              </w:rPr>
              <w:t xml:space="preserve">Products</w:t>
            </w:r>
          </w:p>
        </w:tc>
        <w:tc>
          <w:tcPr>
            <w:tcW w:type="dxa" w:w="11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7"/>
                <w:szCs w:val="17"/>
              </w:rPr>
              <w:t xml:space="preserve">Median price (₹)</w:t>
            </w:r>
          </w:p>
        </w:tc>
        <w:tc>
          <w:tcPr>
            <w:tcW w:type="dxa" w:w="11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7"/>
                <w:szCs w:val="17"/>
              </w:rPr>
              <w:t xml:space="preserve">Mean discount (%)</w:t>
            </w:r>
          </w:p>
        </w:tc>
        <w:tc>
          <w:tcPr>
            <w:tcW w:type="dxa" w:w="11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7"/>
                <w:szCs w:val="17"/>
              </w:rPr>
              <w:t xml:space="preserve">Median brand size</w:t>
            </w:r>
          </w:p>
        </w:tc>
        <w:tc>
          <w:tcPr>
            <w:tcW w:type="dxa" w:w="1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7"/>
                <w:szCs w:val="17"/>
              </w:rPr>
              <w:t xml:space="preserve">Share unrated</w:t>
            </w:r>
          </w:p>
        </w:tc>
        <w:tc>
          <w:tcPr>
            <w:tcW w:type="dxa" w:w="12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center"/>
            </w:pPr>
            <w:r>
              <w:rPr>
                <w:rFonts w:ascii="Times New Roman" w:cs="Times New Roman" w:eastAsia="Times New Roman" w:hAnsi="Times New Roman"/>
                <w:b/>
                <w:bCs/>
                <w:sz w:val="17"/>
                <w:szCs w:val="17"/>
              </w:rPr>
              <w:t xml:space="preserve">Mean rating</w:t>
            </w:r>
          </w:p>
        </w:tc>
      </w:tr>
      <w:tr>
        <w:trPr>
          <w:cantSplit/>
        </w:trPr>
        <w:tc>
          <w:tcPr>
            <w:tcW w:type="dxa" w:w="2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7"/>
                <w:szCs w:val="17"/>
              </w:rPr>
              <w:t xml:space="preserve">Core everyday value</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11,365 (41.8%)</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127.5</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3.8</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22</w:t>
            </w:r>
          </w:p>
        </w:tc>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0%</w:t>
            </w:r>
          </w:p>
        </w:tc>
        <w:tc>
          <w:tcPr>
            <w:tcW w:type="dxa" w:w="1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4.19</w:t>
            </w:r>
          </w:p>
        </w:tc>
      </w:tr>
      <w:tr>
        <w:trPr>
          <w:cantSplit/>
        </w:trPr>
        <w:tc>
          <w:tcPr>
            <w:tcW w:type="dxa" w:w="2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7"/>
                <w:szCs w:val="17"/>
              </w:rPr>
              <w:t xml:space="preserve">Premium full-price, low review traction</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5,764 (21.2%)</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300.0</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4.9</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19</w:t>
            </w:r>
          </w:p>
        </w:tc>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100%</w:t>
            </w:r>
          </w:p>
        </w:tc>
        <w:tc>
          <w:tcPr>
            <w:tcW w:type="dxa" w:w="1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w:t>
            </w:r>
          </w:p>
        </w:tc>
      </w:tr>
      <w:tr>
        <w:trPr>
          <w:cantSplit/>
        </w:trPr>
        <w:tc>
          <w:tcPr>
            <w:tcW w:type="dxa" w:w="2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7"/>
                <w:szCs w:val="17"/>
              </w:rPr>
              <w:t xml:space="preserve">Large-brand discounted, low review traction</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2,649 (9.7%)</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159.0</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26.7</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170</w:t>
            </w:r>
          </w:p>
        </w:tc>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99%</w:t>
            </w:r>
          </w:p>
        </w:tc>
        <w:tc>
          <w:tcPr>
            <w:tcW w:type="dxa" w:w="1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w:t>
            </w:r>
          </w:p>
        </w:tc>
      </w:tr>
      <w:tr>
        <w:trPr>
          <w:cantSplit/>
        </w:trPr>
        <w:tc>
          <w:tcPr>
            <w:tcW w:type="dxa" w:w="2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7"/>
                <w:szCs w:val="17"/>
              </w:rPr>
              <w:t xml:space="preserve">Low-rated, quality-risk</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2,288 (8.4%)</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297.3</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10.6</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24</w:t>
            </w:r>
          </w:p>
        </w:tc>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0%</w:t>
            </w:r>
          </w:p>
        </w:tc>
        <w:tc>
          <w:tcPr>
            <w:tcW w:type="dxa" w:w="1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2.44</w:t>
            </w:r>
          </w:p>
        </w:tc>
      </w:tr>
      <w:tr>
        <w:trPr>
          <w:cantSplit/>
        </w:trPr>
        <w:tc>
          <w:tcPr>
            <w:tcW w:type="dxa" w:w="27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7"/>
                <w:szCs w:val="17"/>
              </w:rPr>
              <w:t xml:space="preserve">Promotion-driven</w:t>
            </w:r>
          </w:p>
        </w:tc>
        <w:tc>
          <w:tcPr>
            <w:tcW w:type="dxa" w:w="14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5,134 (18.9%)</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209.0</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30.4</w:t>
            </w:r>
          </w:p>
        </w:tc>
        <w:tc>
          <w:tcPr>
            <w:tcW w:type="dxa" w:w="11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53</w:t>
            </w:r>
          </w:p>
        </w:tc>
        <w:tc>
          <w:tcPr>
            <w:tcW w:type="dxa" w:w="1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1%</w:t>
            </w:r>
          </w:p>
        </w:tc>
        <w:tc>
          <w:tcPr>
            <w:tcW w:type="dxa" w:w="12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17"/>
                <w:szCs w:val="17"/>
              </w:rPr>
              <w:t xml:space="preserve">4.07</w:t>
            </w:r>
          </w:p>
        </w:tc>
      </w:tr>
    </w:tbl>
    <w:p>
      <w:pPr>
        <w:spacing w:after="160" w:before="60"/>
        <w:jc w:val="both"/>
      </w:pPr>
      <w:r>
        <w:rPr>
          <w:rFonts w:ascii="Times New Roman" w:cs="Times New Roman" w:eastAsia="Times New Roman" w:hAnsi="Times New Roman"/>
          <w:i/>
          <w:iCs/>
          <w:sz w:val="19"/>
          <w:szCs w:val="19"/>
        </w:rPr>
        <w:t xml:space="preserve">* Almost no products in these segments carry a rating, so the average of the few rated items is not meaningful.</w:t>
      </w:r>
    </w:p>
    <w:p>
      <w:pPr>
        <w:keepNext/>
        <w:spacing w:after="40" w:before="120"/>
        <w:jc w:val="center"/>
      </w:pPr>
      <w:r>
        <w:drawing>
          <wp:inline distT="0" distB="0" distL="0" distR="0">
            <wp:extent cx="3810000" cy="2762250"/>
            <wp:effectExtent t="0" r="0" b="0" l="0"/>
            <wp:docPr id="1" name="14_cluster_profile_heatmap.png" descr="Figure 14. Mean standardised value of each feature in each cluster" title="Figure 14. Mean standardised value of each feature in each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7622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14. Mean standardised value of each feature in each cluster</w:t>
      </w:r>
    </w:p>
    <w:p>
      <w:pPr>
        <w:keepNext/>
        <w:spacing w:after="40" w:before="120"/>
        <w:jc w:val="center"/>
      </w:pPr>
      <w:r>
        <w:drawing>
          <wp:inline distT="0" distB="0" distL="0" distR="0">
            <wp:extent cx="5810250" cy="1552575"/>
            <wp:effectExtent t="0" r="0" b="0" l="0"/>
            <wp:docPr id="1" name="15_cluster_boxplots.png" descr="Figure 15. Price, discount and brand size by cluster" title="Figure 15. Price, discount and brand size by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15525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15. Price, discount and brand size by cluster</w:t>
      </w:r>
    </w:p>
    <w:p>
      <w:pPr>
        <w:keepNext/>
        <w:spacing w:after="40" w:before="120"/>
        <w:jc w:val="center"/>
      </w:pPr>
      <w:r>
        <w:drawing>
          <wp:inline distT="0" distB="0" distL="0" distR="0">
            <wp:extent cx="5334000" cy="3238500"/>
            <wp:effectExtent t="0" r="0" b="0" l="0"/>
            <wp:docPr id="1" name="16_category_mix_by_cluster.png" descr="Figure 16. Category composition of each cluster (per cent of cluster)" title="Figure 16. Category composition of each cluster (per cent of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385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16. Category composition of each cluster (per cent of cluster)</w:t>
      </w:r>
    </w:p>
    <w:p>
      <w:pPr>
        <w:spacing w:after="140" w:line="300"/>
        <w:jc w:val="both"/>
      </w:pPr>
      <w:r>
        <w:rPr>
          <w:rFonts w:ascii="Times New Roman" w:cs="Times New Roman" w:eastAsia="Times New Roman" w:hAnsi="Times New Roman"/>
          <w:sz w:val="23"/>
          <w:szCs w:val="23"/>
        </w:rPr>
        <w:t xml:space="preserve">Figure 16 shows that every segment spreads across several categories; the largest share in any segment never exceeds 37 per cent from a single category. A category-based plan would therefore treat products of different behaviour alike, which is the weakness of the present approach.</w:t>
      </w:r>
    </w:p>
    <w:p>
      <w:pPr>
        <w:pStyle w:val="Heading2"/>
        <w:spacing w:after="120" w:before="240"/>
      </w:pPr>
      <w:r>
        <w:rPr>
          <w:rFonts w:ascii="Times New Roman" w:cs="Times New Roman" w:eastAsia="Times New Roman" w:hAnsi="Times New Roman"/>
          <w:b/>
          <w:bCs/>
          <w:sz w:val="25"/>
          <w:szCs w:val="25"/>
        </w:rPr>
        <w:t xml:space="preserve">9.3 Description of the segments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Core everyday value (41.8 per cent). </w:t>
      </w:r>
      <w:r>
        <w:rPr>
          <w:rFonts w:ascii="Times New Roman" w:cs="Times New Roman" w:eastAsia="Times New Roman" w:hAnsi="Times New Roman"/>
          <w:sz w:val="23"/>
          <w:szCs w:val="23"/>
        </w:rPr>
        <w:t xml:space="preserve">The largest group has the lowest median price (₹127.5), little discounting (3.8 per cent on average), a good average rating (4.19) and reviews for every item. These are the probable fast-moving, high-demand staples.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Promotion-driven (18.9 per cent). </w:t>
      </w:r>
      <w:r>
        <w:rPr>
          <w:rFonts w:ascii="Times New Roman" w:cs="Times New Roman" w:eastAsia="Times New Roman" w:hAnsi="Times New Roman"/>
          <w:sz w:val="23"/>
          <w:szCs w:val="23"/>
        </w:rPr>
        <w:t xml:space="preserve">Every item is discounted, with an average discount of 30.4 per cent at a median price of ₹209. Demand for these products is probably tied to promotions.</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Premium full-price, low review traction (21.2 per cent). </w:t>
      </w:r>
      <w:r>
        <w:rPr>
          <w:rFonts w:ascii="Times New Roman" w:cs="Times New Roman" w:eastAsia="Times New Roman" w:hAnsi="Times New Roman"/>
          <w:sz w:val="23"/>
          <w:szCs w:val="23"/>
        </w:rPr>
        <w:t xml:space="preserve">The median price is ₹300, discounts average under 5 per cent, and essentially none of the products is rated. These are premium items that probably sell slowly.</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Low-rated, quality-risk (8.4 per cent). </w:t>
      </w:r>
      <w:r>
        <w:rPr>
          <w:rFonts w:ascii="Times New Roman" w:cs="Times New Roman" w:eastAsia="Times New Roman" w:hAnsi="Times New Roman"/>
          <w:sz w:val="23"/>
          <w:szCs w:val="23"/>
        </w:rPr>
        <w:t xml:space="preserve">The median price is ₹297 and the average rating only 2.44. Customer dissatisfaction is the defining characteristic.</w:t>
      </w:r>
    </w:p>
    <w:p>
      <w:pPr>
        <w:pStyle w:val="ListParagraph"/>
        <w:numPr>
          <w:ilvl w:val="0"/>
          <w:numId w:val="2"/>
        </w:numPr>
        <w:spacing w:after="80" w:line="290"/>
        <w:jc w:val="both"/>
      </w:pPr>
      <w:r>
        <w:rPr>
          <w:rFonts w:ascii="Times New Roman" w:cs="Times New Roman" w:eastAsia="Times New Roman" w:hAnsi="Times New Roman"/>
          <w:b/>
          <w:bCs/>
          <w:sz w:val="23"/>
          <w:szCs w:val="23"/>
        </w:rPr>
        <w:t xml:space="preserve">Large-brand discounted, low review traction (9.7 per cent). </w:t>
      </w:r>
      <w:r>
        <w:rPr>
          <w:rFonts w:ascii="Times New Roman" w:cs="Times New Roman" w:eastAsia="Times New Roman" w:hAnsi="Times New Roman"/>
          <w:sz w:val="23"/>
          <w:szCs w:val="23"/>
        </w:rPr>
        <w:t xml:space="preserve">Products come from very broad brands (median 170 listings per brand), are discounted by 26.7 per cent on average and are almost never rated. Fresh produce is over-represented (21 per cent of the segment).</w:t>
      </w:r>
    </w:p>
    <w:p>
      <w:pPr>
        <w:pStyle w:val="Heading2"/>
        <w:spacing w:after="120" w:before="240"/>
      </w:pPr>
      <w:r>
        <w:rPr>
          <w:rFonts w:ascii="Times New Roman" w:cs="Times New Roman" w:eastAsia="Times New Roman" w:hAnsi="Times New Roman"/>
          <w:b/>
          <w:bCs/>
          <w:sz w:val="25"/>
          <w:szCs w:val="25"/>
        </w:rPr>
        <w:t xml:space="preserve">9.4 Which solution gives the most meaningful segmentation</w:t>
      </w:r>
    </w:p>
    <w:p>
      <w:pPr>
        <w:spacing w:after="140" w:line="300"/>
        <w:jc w:val="both"/>
      </w:pPr>
      <w:r>
        <w:rPr>
          <w:rFonts w:ascii="Times New Roman" w:cs="Times New Roman" w:eastAsia="Times New Roman" w:hAnsi="Times New Roman"/>
          <w:sz w:val="23"/>
          <w:szCs w:val="23"/>
        </w:rPr>
        <w:t xml:space="preserve">K-Means with K = 5 is preferred on both statistical and business grounds. Statistically, it has the best silhouette and Davies–Bouldin values among the sensible candidates and the most balanced cluster sizes. From a business viewpoint, its five segments differ in ways that require different actions: they differ in price position, in promotion dependence, in customer satisfaction and in review traction. K = 4 merges the two heavily discounted groups, whereas K = 6 has a lower silhouette score (0.252) and splits the data into smaller, more fragmented groups. Ward clustering yields a similar structure but slightly weaker separation, and the Gaussian mixture does not suit the data.</w:t>
      </w:r>
    </w:p>
    <w:p>
      <w:pPr>
        <w:pStyle w:val="Heading2"/>
        <w:spacing w:after="120" w:before="240"/>
      </w:pPr>
      <w:r>
        <w:rPr>
          <w:rFonts w:ascii="Times New Roman" w:cs="Times New Roman" w:eastAsia="Times New Roman" w:hAnsi="Times New Roman"/>
          <w:b/>
          <w:bCs/>
          <w:sz w:val="25"/>
          <w:szCs w:val="25"/>
        </w:rPr>
        <w:t xml:space="preserve">9.5 Validation of stability</w:t>
      </w:r>
    </w:p>
    <w:p>
      <w:pPr>
        <w:spacing w:after="140" w:line="300"/>
        <w:jc w:val="both"/>
      </w:pPr>
      <w:r>
        <w:rPr>
          <w:rFonts w:ascii="Times New Roman" w:cs="Times New Roman" w:eastAsia="Times New Roman" w:hAnsi="Times New Roman"/>
          <w:sz w:val="23"/>
          <w:szCs w:val="23"/>
        </w:rPr>
        <w:t xml:space="preserve">Two checks were made in place of a test-set evaluation. In the hold-out check, the scaler and K-Means were fitted on a random 80 per cent of the products, and the remaining 20 per cent were assigned to the nearest centroid; agreement with the full-data model was an Adjusted Rand Index (ARI) of 0.983. In the bootstrap check, K-Means was refitted on ten random 80 per cent subsamples; the mean ARI against the full-data labels was 0.987 (standard deviation 0.006, minimum 0.974). Values this close to 1 show that the same products are grouped together irrespective of the subset used, so the segmentation is stable.</w:t>
      </w:r>
    </w:p>
    <w:p>
      <w:pPr>
        <w:pStyle w:val="Heading1"/>
        <w:spacing w:after="160" w:before="360"/>
      </w:pPr>
      <w:r>
        <w:rPr>
          <w:rFonts w:ascii="Times New Roman" w:cs="Times New Roman" w:eastAsia="Times New Roman" w:hAnsi="Times New Roman"/>
          <w:b/>
          <w:bCs/>
          <w:sz w:val="30"/>
          <w:szCs w:val="30"/>
        </w:rPr>
        <w:t xml:space="preserve">10. Business Interpretation and Recommendations</w:t>
      </w:r>
    </w:p>
    <w:p>
      <w:pPr>
        <w:spacing w:after="140" w:line="300"/>
        <w:jc w:val="both"/>
      </w:pPr>
      <w:r>
        <w:rPr>
          <w:rFonts w:ascii="Times New Roman" w:cs="Times New Roman" w:eastAsia="Times New Roman" w:hAnsi="Times New Roman"/>
          <w:sz w:val="23"/>
          <w:szCs w:val="23"/>
        </w:rPr>
        <w:t xml:space="preserve">The strategies below follow from the segment profiles. Since the data contain no sales or stock records, they should be treated as hypotheses to be confirmed against transaction data, and the first step in implementation should be to test each segment's actual sales velocity.</w:t>
      </w:r>
    </w:p>
    <w:p>
      <w:pPr>
        <w:keepNext/>
        <w:spacing w:after="80" w:before="200"/>
        <w:jc w:val="center"/>
      </w:pPr>
      <w:r>
        <w:rPr>
          <w:rFonts w:ascii="Times New Roman" w:cs="Times New Roman" w:eastAsia="Times New Roman" w:hAnsi="Times New Roman"/>
          <w:i/>
          <w:iCs/>
          <w:sz w:val="20"/>
          <w:szCs w:val="20"/>
        </w:rPr>
        <w:t xml:space="preserve">Table 10. Segment-specific inventory and promotion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000"/>
        <w:gridCol w:w="2738"/>
      </w:tblGrid>
      <w:tr>
        <w:trPr>
          <w:cantSplit/>
          <w:tblHeader/>
        </w:trPr>
        <w:tc>
          <w:tcPr>
            <w:tcW w:type="dxa" w:w="19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Segment</w:t>
            </w:r>
          </w:p>
        </w:tc>
        <w:tc>
          <w:tcPr>
            <w:tcW w:type="dxa" w:w="2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Commercial reading</w:t>
            </w:r>
          </w:p>
        </w:tc>
        <w:tc>
          <w:tcPr>
            <w:tcW w:type="dxa" w:w="3000"/>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Inventory and stocking</w:t>
            </w:r>
          </w:p>
        </w:tc>
        <w:tc>
          <w:tcPr>
            <w:tcW w:type="dxa" w:w="2738"/>
            <w:tcBorders>
              <w:top w:val="single" w:color="9AA5B1" w:sz="4"/>
              <w:left w:val="single" w:color="9AA5B1" w:sz="4"/>
              <w:bottom w:val="single" w:color="9AA5B1" w:sz="4"/>
              <w:right w:val="single" w:color="9AA5B1" w:sz="4"/>
            </w:tcBorders>
            <w:shd w:fill="DCE6F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Promotion</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Core everyday value</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Probable fast-moving, high-demand staples</w:t>
            </w:r>
          </w:p>
        </w:tc>
        <w:tc>
          <w:tcPr>
            <w:tcW w:type="dxa" w:w="3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High safety stock and frequent replenishment; avoid stock-outs; negotiate volume terms with suppliers</w:t>
            </w:r>
          </w:p>
        </w:tc>
        <w:tc>
          <w:tcPr>
            <w:tcW w:type="dxa" w:w="2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Little need for discounts; use as traffic builders and bundle anchors</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Promotion-driven</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Demand tied to price promotion</w:t>
            </w:r>
          </w:p>
        </w:tc>
        <w:tc>
          <w:tcPr>
            <w:tcW w:type="dxa" w:w="3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Build stock ahead of campaigns and run it down afterwards; plan to the promotion calendar</w:t>
            </w:r>
          </w:p>
        </w:tc>
        <w:tc>
          <w:tcPr>
            <w:tcW w:type="dxa" w:w="2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Measure the sales uplift of each campaign; test shallower discounts</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Premium full-price, low review traction</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Premium, probable slow-moving</w:t>
            </w:r>
          </w:p>
        </w:tc>
        <w:tc>
          <w:tcPr>
            <w:tcW w:type="dxa" w:w="3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Minimal stock; replenish in small batches or on order; monitor ageing</w:t>
            </w:r>
          </w:p>
        </w:tc>
        <w:tc>
          <w:tcPr>
            <w:tcW w:type="dxa" w:w="2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Targeted rather than mass promotion; encourage reviews to build trust</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Low-rated, quality-risk</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Customer dissatisfaction</w:t>
            </w:r>
          </w:p>
        </w:tc>
        <w:tc>
          <w:tcPr>
            <w:tcW w:type="dxa" w:w="3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Reduce stock; review the supplier or quality before reordering</w:t>
            </w:r>
          </w:p>
        </w:tc>
        <w:tc>
          <w:tcPr>
            <w:tcW w:type="dxa" w:w="2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Do not discount to clear stock until quality is checked; consider delisting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Large-brand discounted, low review traction</w:t>
            </w:r>
          </w:p>
        </w:tc>
        <w:tc>
          <w:tcPr>
            <w:tcW w:type="dxa" w:w="2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Broad, low-priced assortment with little review activity</w:t>
            </w:r>
          </w:p>
        </w:tc>
        <w:tc>
          <w:tcPr>
            <w:tcW w:type="dxa" w:w="3000"/>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Keep lean stock; handle short shelf life carefully</w:t>
            </w:r>
          </w:p>
        </w:tc>
        <w:tc>
          <w:tcPr>
            <w:tcW w:type="dxa" w:w="2738"/>
            <w:tcBorders>
              <w:top w:val="single" w:color="9AA5B1" w:sz="4"/>
              <w:left w:val="single" w:color="9AA5B1" w:sz="4"/>
              <w:bottom w:val="single" w:color="9AA5B1" w:sz="4"/>
              <w:right w:val="single" w:color="9AA5B1"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Brand-level promotions rather than item-level offers</w:t>
            </w:r>
          </w:p>
        </w:tc>
      </w:tr>
    </w:tbl>
    <w:p>
      <w:pPr>
        <w:spacing w:after="120"/>
      </w:pPr>
    </w:p>
    <w:p>
      <w:pPr>
        <w:spacing w:after="140" w:line="300"/>
        <w:jc w:val="both"/>
      </w:pPr>
      <w:r>
        <w:rPr>
          <w:rFonts w:ascii="Times New Roman" w:cs="Times New Roman" w:eastAsia="Times New Roman" w:hAnsi="Times New Roman"/>
          <w:sz w:val="23"/>
          <w:szCs w:val="23"/>
        </w:rPr>
        <w:t xml:space="preserve">Three wider recommendations follow. First, replace uniform category rules by segment-specific replenishment and promotion rules, since every segment cuts across several categories. Second, review the discount policy for the promotion-driven segment, because a discount of about 30 per cent applied to every item in the segment is costly and should be justified by measured uplift. Third, give particular attention to the low-rated segment, where continued stocking and promotion may harm customer satisfaction.</w:t>
      </w:r>
    </w:p>
    <w:p>
      <w:pPr>
        <w:pStyle w:val="Heading1"/>
        <w:spacing w:after="160" w:before="360"/>
      </w:pPr>
      <w:r>
        <w:rPr>
          <w:rFonts w:ascii="Times New Roman" w:cs="Times New Roman" w:eastAsia="Times New Roman" w:hAnsi="Times New Roman"/>
          <w:b/>
          <w:bCs/>
          <w:sz w:val="30"/>
          <w:szCs w:val="30"/>
        </w:rPr>
        <w:t xml:space="preserve">11. Limitations and Future Work</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The data contain no units sold, stock levels or returns. "Fast-moving" and "slow-moving" are inferred from review traction, discount depth and brand breadth, which are indirect indicators. The segment strategies need validation against actual sales and inventory data.</w:t>
      </w:r>
    </w:p>
    <w:p>
      <w:pPr>
        <w:pStyle w:val="ListParagraph"/>
        <w:numPr>
          <w:ilvl w:val="0"/>
          <w:numId w:val="2"/>
        </w:numPr>
        <w:spacing w:after="80" w:line="290"/>
        <w:jc w:val="both"/>
      </w:pPr>
      <w:r>
        <w:rPr>
          <w:rFonts w:ascii="Times New Roman" w:cs="Times New Roman" w:eastAsia="Times New Roman" w:hAnsi="Times New Roman"/>
          <w:sz w:val="23"/>
          <w:szCs w:val="23"/>
        </w:rPr>
        <w:t xml:space="preserve">About 31 per cent of ratings are missing and two categories have none. Imputed ratings carry limited information, which is why a separate missing indicator was retained.</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The silhouette score of about 0.29 indicates overlapping segments. The clusters describe tendencies, not sharp boundaries.</w:t>
      </w:r>
    </w:p>
    <w:p>
      <w:pPr>
        <w:pStyle w:val="ListParagraph"/>
        <w:numPr>
          <w:ilvl w:val="0"/>
          <w:numId w:val="2"/>
        </w:numPr>
        <w:spacing w:after="80" w:line="290"/>
        <w:jc w:val="both"/>
      </w:pPr>
      <w:r>
        <w:rPr>
          <w:rFonts w:ascii="Times New Roman" w:cs="Times New Roman" w:eastAsia="Times New Roman" w:hAnsi="Times New Roman"/>
          <w:sz w:val="23"/>
          <w:szCs w:val="23"/>
        </w:rPr>
        <w:t xml:space="preserve">Hierarchical clustering was run on a random sample of 6,000 products because of memory limits.</w:t>
      </w:r>
    </w:p>
    <w:p>
      <w:pPr>
        <w:pStyle w:val="ListParagraph"/>
        <w:numPr>
          <w:ilvl w:val="0"/>
          <w:numId w:val="2"/>
        </w:numPr>
        <w:spacing w:after="80" w:line="290"/>
        <w:jc w:val="both"/>
      </w:pPr>
      <w:r>
        <w:rPr>
          <w:rFonts w:ascii="Times New Roman" w:cs="Times New Roman" w:eastAsia="Times New Roman" w:hAnsi="Times New Roman"/>
          <w:sz w:val="23"/>
          <w:szCs w:val="23"/>
        </w:rPr>
        <w:t xml:space="preserve">Future work should combine the catalogue with transaction data to build true demand features (units sold, sales velocity, stock turnover and return rate), add a time dimension to study seasonality, and test the strategies through controlled pilots.</w:t>
      </w:r>
    </w:p>
    <w:p>
      <w:pPr>
        <w:pStyle w:val="Heading1"/>
        <w:spacing w:after="160" w:before="360"/>
      </w:pPr>
      <w:r>
        <w:rPr>
          <w:rFonts w:ascii="Times New Roman" w:cs="Times New Roman" w:eastAsia="Times New Roman" w:hAnsi="Times New Roman"/>
          <w:b/>
          <w:bCs/>
          <w:sz w:val="30"/>
          <w:szCs w:val="30"/>
        </w:rPr>
        <w:t xml:space="preserve">12. Conclusion</w:t>
      </w:r>
    </w:p>
    <w:p>
      <w:pPr>
        <w:spacing w:after="140" w:line="300"/>
        <w:jc w:val="both"/>
      </w:pPr>
      <w:r>
        <w:rPr>
          <w:rFonts w:ascii="Times New Roman" w:cs="Times New Roman" w:eastAsia="Times New Roman" w:hAnsi="Times New Roman"/>
          <w:sz w:val="23"/>
          <w:szCs w:val="23"/>
        </w:rPr>
        <w:t xml:space="preserve">This project showed that the BigBasket catalogue contains five commercially distinct groups of products that a category-based view does not reveal. K-Means clustering with K = 5 on standardised features gave the best internal quality among the models tested and was highly stable under resampling. Standardisation proved essential, since without it a single variable determined 98.5 per cent of the variance. Outliers were retained and log-transformed because they correspond to genuine premium products. The segments support differentiated inventory and promotion strategies, subject to the limitation that demand could be represented only by proxies. The same framework can be applied directly to richer retail data containing sales and stock figures.</w:t>
      </w:r>
    </w:p>
    <w:p>
      <w:pPr>
        <w:pStyle w:val="Heading1"/>
        <w:spacing w:after="160" w:before="360"/>
      </w:pPr>
      <w:r>
        <w:rPr>
          <w:rFonts w:ascii="Times New Roman" w:cs="Times New Roman" w:eastAsia="Times New Roman" w:hAnsi="Times New Roman"/>
          <w:b/>
          <w:bCs/>
          <w:sz w:val="30"/>
          <w:szCs w:val="30"/>
        </w:rPr>
        <w:t xml:space="preserve">References</w:t>
      </w:r>
    </w:p>
    <w:p>
      <w:pPr>
        <w:spacing w:after="100" w:line="280"/>
        <w:ind w:left="480" w:hanging="480"/>
      </w:pPr>
      <w:r>
        <w:rPr>
          <w:rFonts w:ascii="Times New Roman" w:cs="Times New Roman" w:eastAsia="Times New Roman" w:hAnsi="Times New Roman"/>
          <w:sz w:val="21"/>
          <w:szCs w:val="21"/>
        </w:rPr>
        <w:t xml:space="preserve">[1]  Arthur, D. and Vassilvitskii, S. (2007). k-means++: the advantages of careful seeding. Proceedings of the 18th Annual ACM-SIAM Symposium on Discrete Algorithms, 1027–1035.</w:t>
      </w:r>
    </w:p>
    <w:p>
      <w:pPr>
        <w:spacing w:after="100" w:line="280"/>
        <w:ind w:left="480" w:hanging="480"/>
      </w:pPr>
      <w:r>
        <w:rPr>
          <w:rFonts w:ascii="Times New Roman" w:cs="Times New Roman" w:eastAsia="Times New Roman" w:hAnsi="Times New Roman"/>
          <w:sz w:val="21"/>
          <w:szCs w:val="21"/>
        </w:rPr>
        <w:t xml:space="preserve">[2]  Caliński, T. and Harabasz, J. (1974). A dendrite method for cluster analysis. Communications in Statistics, 3(1), 1–27.</w:t>
      </w:r>
    </w:p>
    <w:p>
      <w:pPr>
        <w:spacing w:after="100" w:line="280"/>
        <w:ind w:left="480" w:hanging="480"/>
      </w:pPr>
      <w:r>
        <w:rPr>
          <w:rFonts w:ascii="Times New Roman" w:cs="Times New Roman" w:eastAsia="Times New Roman" w:hAnsi="Times New Roman"/>
          <w:sz w:val="21"/>
          <w:szCs w:val="21"/>
        </w:rPr>
        <w:t xml:space="preserve">[3]  Davies, D. L. and Bouldin, D. W. (1979). A cluster separation measure. IEEE Transactions on Pattern Analysis and Machine Intelligence, PAMI-1(2), 224–227.</w:t>
      </w:r>
    </w:p>
    <w:p>
      <w:pPr>
        <w:spacing w:after="100" w:line="280"/>
        <w:ind w:left="480" w:hanging="480"/>
      </w:pPr>
      <w:r>
        <w:rPr>
          <w:rFonts w:ascii="Times New Roman" w:cs="Times New Roman" w:eastAsia="Times New Roman" w:hAnsi="Times New Roman"/>
          <w:sz w:val="21"/>
          <w:szCs w:val="21"/>
        </w:rPr>
        <w:t xml:space="preserve">[4]  Hubert, L. and Arabie, P. (1985). Comparing partitions. Journal of Classification, 2, 193–218.</w:t>
      </w:r>
    </w:p>
    <w:p>
      <w:pPr>
        <w:spacing w:after="100" w:line="280"/>
        <w:ind w:left="480" w:hanging="480"/>
      </w:pPr>
      <w:r>
        <w:rPr>
          <w:rFonts w:ascii="Times New Roman" w:cs="Times New Roman" w:eastAsia="Times New Roman" w:hAnsi="Times New Roman"/>
          <w:sz w:val="21"/>
          <w:szCs w:val="21"/>
        </w:rPr>
        <w:t xml:space="preserve">[5]  Jolliffe, I. T. and Cadima, J. (2016). Principal component analysis: a review and recent developments. Philosophical Transactions of the Royal Society A, 374, 20150202.</w:t>
      </w:r>
    </w:p>
    <w:p>
      <w:pPr>
        <w:spacing w:after="100" w:line="280"/>
        <w:ind w:left="480" w:hanging="480"/>
      </w:pPr>
      <w:r>
        <w:rPr>
          <w:rFonts w:ascii="Times New Roman" w:cs="Times New Roman" w:eastAsia="Times New Roman" w:hAnsi="Times New Roman"/>
          <w:sz w:val="21"/>
          <w:szCs w:val="21"/>
        </w:rPr>
        <w:t xml:space="preserve">[6]  MacQueen, J. (1967). Some methods for classification and analysis of multivariate observations. Proceedings of the Fifth Berkeley Symposium on Mathematical Statistics and Probability, 1, 281–297.</w:t>
      </w:r>
    </w:p>
    <w:p>
      <w:pPr>
        <w:spacing w:after="100" w:line="280"/>
        <w:ind w:left="480" w:hanging="480"/>
      </w:pPr>
      <w:r>
        <w:rPr>
          <w:rFonts w:ascii="Times New Roman" w:cs="Times New Roman" w:eastAsia="Times New Roman" w:hAnsi="Times New Roman"/>
          <w:sz w:val="21"/>
          <w:szCs w:val="21"/>
        </w:rPr>
        <w:t xml:space="preserve">[7]  Pedregosa, F. et al. (2011). Scikit-learn: machine learning in Python. Journal of Machine Learning Research, 12, 2825–2830.</w:t>
      </w:r>
    </w:p>
    <w:p>
      <w:pPr>
        <w:spacing w:after="100" w:line="280"/>
        <w:ind w:left="480" w:hanging="480"/>
      </w:pPr>
      <w:r>
        <w:rPr>
          <w:rFonts w:ascii="Times New Roman" w:cs="Times New Roman" w:eastAsia="Times New Roman" w:hAnsi="Times New Roman"/>
          <w:sz w:val="21"/>
          <w:szCs w:val="21"/>
        </w:rPr>
        <w:t xml:space="preserve">[8]  Rousseeuw, P. J. (1987). Silhouettes: a graphical aid to the interpretation and validation of cluster analysis. Journal of Computational and Applied Mathematics, 20, 53–65.</w:t>
      </w:r>
    </w:p>
    <w:p>
      <w:pPr>
        <w:spacing w:after="100" w:line="280"/>
        <w:ind w:left="480" w:hanging="480"/>
      </w:pPr>
      <w:r>
        <w:rPr>
          <w:rFonts w:ascii="Times New Roman" w:cs="Times New Roman" w:eastAsia="Times New Roman" w:hAnsi="Times New Roman"/>
          <w:sz w:val="21"/>
          <w:szCs w:val="21"/>
        </w:rPr>
        <w:t xml:space="preserve">[9]  Ward, J. H. (1963). Hierarchical grouping to optimize an objective function. Journal of the American Statistical Association, 58(301), 236–244.</w:t>
      </w:r>
    </w:p>
    <w:p>
      <w:pPr>
        <w:spacing w:after="100" w:line="280"/>
        <w:ind w:left="480" w:hanging="480"/>
      </w:pPr>
      <w:r>
        <w:rPr>
          <w:rFonts w:ascii="Times New Roman" w:cs="Times New Roman" w:eastAsia="Times New Roman" w:hAnsi="Times New Roman"/>
          <w:sz w:val="21"/>
          <w:szCs w:val="21"/>
        </w:rPr>
        <w:t xml:space="preserve">[10]  BigBasket Products dataset, Kaggle. 27,555 product listings from an Indian online grocery retailer.</w:t>
      </w:r>
    </w:p>
    <w:p>
      <w:pPr>
        <w:pStyle w:val="Heading1"/>
        <w:spacing w:after="160" w:before="360"/>
      </w:pPr>
      <w:r>
        <w:rPr>
          <w:rFonts w:ascii="Times New Roman" w:cs="Times New Roman" w:eastAsia="Times New Roman" w:hAnsi="Times New Roman"/>
          <w:b/>
          <w:bCs/>
          <w:sz w:val="30"/>
          <w:szCs w:val="30"/>
        </w:rPr>
        <w:t xml:space="preserve">Appendix: Submission Contents and Reproducibility</w:t>
      </w:r>
    </w:p>
    <w:p>
      <w:pPr>
        <w:spacing w:after="140" w:line="300"/>
        <w:jc w:val="both"/>
      </w:pPr>
      <w:r>
        <w:rPr>
          <w:rFonts w:ascii="Times New Roman" w:cs="Times New Roman" w:eastAsia="Times New Roman" w:hAnsi="Times New Roman"/>
          <w:sz w:val="23"/>
          <w:szCs w:val="23"/>
        </w:rPr>
        <w:t xml:space="preserve">The submission folder contains the following files.</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This report in PDF and Word format.</w:t>
      </w:r>
    </w:p>
    <w:p>
      <w:pPr>
        <w:pStyle w:val="ListParagraph"/>
        <w:numPr>
          <w:ilvl w:val="0"/>
          <w:numId w:val="2"/>
        </w:numPr>
        <w:spacing w:after="80" w:line="290"/>
        <w:jc w:val="both"/>
      </w:pPr>
      <w:r>
        <w:rPr>
          <w:rFonts w:ascii="Times New Roman" w:cs="Times New Roman" w:eastAsia="Times New Roman" w:hAnsi="Times New Roman"/>
          <w:sz w:val="23"/>
          <w:szCs w:val="23"/>
        </w:rPr>
        <w:t xml:space="preserve">Executed Python notebook (ipynb) with comments, and its PDF export.</w:t>
      </w:r>
    </w:p>
    <w:p>
      <w:pPr>
        <w:pStyle w:val="ListParagraph"/>
        <w:numPr>
          <w:ilvl w:val="0"/>
          <w:numId w:val="2"/>
        </w:numPr>
        <w:spacing w:after="80" w:line="290"/>
        <w:jc w:val="both"/>
      </w:pPr>
      <w:r>
        <w:rPr>
          <w:rFonts w:ascii="Times New Roman" w:cs="Times New Roman" w:eastAsia="Times New Roman" w:hAnsi="Times New Roman"/>
          <w:sz w:val="23"/>
          <w:szCs w:val="23"/>
        </w:rPr>
        <w:t xml:space="preserve">Sixteen plots in PNG format in the plots folder.</w:t>
      </w:r>
    </w:p>
    <w:p>
      <w:pPr>
        <w:pStyle w:val="ListParagraph"/>
        <w:numPr>
          <w:ilvl w:val="0"/>
          <w:numId w:val="2"/>
        </w:numPr>
        <w:spacing w:after="80" w:line="290"/>
        <w:jc w:val="both"/>
      </w:pPr>
      <w:r>
        <w:rPr>
          <w:rFonts w:ascii="Times New Roman" w:cs="Times New Roman" w:eastAsia="Times New Roman" w:hAnsi="Times New Roman"/>
          <w:sz w:val="23"/>
          <w:szCs w:val="23"/>
        </w:rPr>
        <w:t xml:space="preserve">The dataset (BigBasket Products.csv).</w:t>
      </w:r>
    </w:p>
    <w:p>
      <w:pPr>
        <w:spacing w:after="140" w:line="300"/>
        <w:jc w:val="both"/>
      </w:pPr>
      <w:r>
        <w:rPr>
          <w:rFonts w:ascii="Times New Roman" w:cs="Times New Roman" w:eastAsia="Times New Roman" w:hAnsi="Times New Roman"/>
          <w:sz w:val="23"/>
          <w:szCs w:val="23"/>
        </w:rPr>
        <w:t xml:space="preserve">To reproduce the results, place the notebook and the dataset in the same folder and run all cells in order with Python 3, pandas, NumPy, scikit-learn, SciPy, matplotlib and seaborn installed. A fixed random seed (42) is used throughout.</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Product Demand and Inventory Intelligence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5b418a19bdfedaee1b280696b1dc64c99837c58.png"/><Relationship Id="rId10" Type="http://schemas.openxmlformats.org/officeDocument/2006/relationships/image" Target="media/7ae436054ea8ab3c996685c12c113bc2136a3a7a.png"/><Relationship Id="rId11" Type="http://schemas.openxmlformats.org/officeDocument/2006/relationships/image" Target="media/d3e43e7a948a1ac4047f7301849a6c9bc6814152.png"/><Relationship Id="rId12" Type="http://schemas.openxmlformats.org/officeDocument/2006/relationships/image" Target="media/fd1ad6f5bce3dfe867fee3a926bf32acc22a102b.png"/><Relationship Id="rId13" Type="http://schemas.openxmlformats.org/officeDocument/2006/relationships/image" Target="media/9028589152bdeb4273f1cc6f9c49660a81b6ab50.png"/><Relationship Id="rId14" Type="http://schemas.openxmlformats.org/officeDocument/2006/relationships/image" Target="media/6533213053129e9a6fe5e82a97e39a3abf69e4b7.png"/><Relationship Id="rId15" Type="http://schemas.openxmlformats.org/officeDocument/2006/relationships/image" Target="media/45c69a204c91274e1c062327a65b1a5d836d6540.png"/><Relationship Id="rId16" Type="http://schemas.openxmlformats.org/officeDocument/2006/relationships/image" Target="media/e6beca60c2569c7bec2130559f8ca4d01a2dc9cd.png"/><Relationship Id="rId17" Type="http://schemas.openxmlformats.org/officeDocument/2006/relationships/image" Target="media/90c54e80b279c8c3a95de8e6ae9d01a0a3f08473.png"/><Relationship Id="rId18" Type="http://schemas.openxmlformats.org/officeDocument/2006/relationships/image" Target="media/dea8d127d32235af66373a3e33fa3343b4c9054f.png"/><Relationship Id="rId19" Type="http://schemas.openxmlformats.org/officeDocument/2006/relationships/image" Target="media/bf841a05e12e7ef0c67bba06d69d0427d7ed6f03.png"/><Relationship Id="rId20" Type="http://schemas.openxmlformats.org/officeDocument/2006/relationships/image" Target="media/bee103095b304f42a9ed9b107caca3cc42d756b3.png"/><Relationship Id="rId21" Type="http://schemas.openxmlformats.org/officeDocument/2006/relationships/image" Target="media/1a7beb6fae1f2cbc54f2a496db8dcce07d16ddc3.png"/><Relationship Id="rId22" Type="http://schemas.openxmlformats.org/officeDocument/2006/relationships/image" Target="media/2c2a309e6c185e6af93ea100ab910fad52af176e.png"/><Relationship Id="rId23" Type="http://schemas.openxmlformats.org/officeDocument/2006/relationships/image" Target="media/315a7f97b6faf39c84b7bf1fa2ccfd48967bd499.png"/><Relationship Id="rId24" Type="http://schemas.openxmlformats.org/officeDocument/2006/relationships/image" Target="media/df47ae47443a660fdcc5077c9305297d90bdad1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Demand and Inventory Intelligence</dc:title>
  <dc:creator>Kunal</dc:creator>
  <cp:lastModifiedBy>Un-named</cp:lastModifiedBy>
  <cp:revision>1</cp:revision>
  <dcterms:created xsi:type="dcterms:W3CDTF">2026-10-10T06:49:19.040Z</dcterms:created>
  <dcterms:modified xsi:type="dcterms:W3CDTF">2026-10-10T06:49:19.049Z</dcterms:modified>
</cp:coreProperties>
</file>

<file path=docProps/custom.xml><?xml version="1.0" encoding="utf-8"?>
<Properties xmlns="http://schemas.openxmlformats.org/officeDocument/2006/custom-properties" xmlns:vt="http://schemas.openxmlformats.org/officeDocument/2006/docPropsVTypes"/>
</file>