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Deforestation Case: Evidence and Remedies</w:t>
      </w:r>
    </w:p>
    <w:p>
      <w:r>
        <w:t>Deforestation Allegations: Evidence and Remedies Framework. Locally prepared research summary for a fictional case; it is not a primary authority or legal advice.</w:t>
      </w:r>
    </w:p>
    <w:p>
      <w:r>
        <w:t>Jurisdiction warning: Deforestation_Case_File.docx does not state a country, state, exact site, court, statutory forest classification, dates or area of clearing, company permits, or verified environmental impacts. Do not assume a jurisdiction. State that local law must be identified before declaring the clearing unlawful or ordering a specific statutory remedy.</w:t>
      </w:r>
    </w:p>
    <w:p>
      <w:r>
        <w:t>Determine the alleged violation by identifying the exact land parcel and its legal forest status on the relevant dates from official forest notifications, land records, maps and surveys. Identify which laws applied at the time, what permits or approvals were required, whether they existed, and whether actual clearing exceeded their location, area, purpose or conditions. Tree removal alone does not establish that land had statutory forest status or that a legal approval was required.</w:t>
      </w:r>
    </w:p>
    <w:p>
      <w:r>
        <w:t>Test the evidence: compare authenticated, dated satellite imagery and photographs with official boundaries and site surveys; obtain the complete permit and environmental approval files; examine company, contractor and equipment records to attribute the work; and assess witness statements against contemporaneous official observations. Separate alleged facts, direct observations and expert conclusions.</w:t>
      </w:r>
    </w:p>
    <w:p>
      <w:r>
        <w:t>Assess harm and causation separately from the approval question. Use an independent ecological assessment comparing baseline and post-clearing conditions, including habitat and wildlife, soil stability and erosion, stream flow and water quality. Examine the causal link to the clearing and consider other plausible sources of change. A statement that harm occurred is an allegation until supported by evidence.</w:t>
      </w:r>
    </w:p>
    <w:p>
      <w:r>
        <w:t>If a violation or environmental harm is proved, remedies should be authorized by the applicable law, proportionate to the site and supported by an expert restoration plan. Possible measures include stopping further unauthorized clearing, restoring native vegetation and habitat, stabilizing eroded soil and stream banks, environmental compensation for remediation and ecological losses, compensation for affected residents where legally available, independent monitoring with measurable survival and water-quality targets, periodic reports, and financial security for completion. Penalties require the applicable statutory basis and required process.</w:t>
      </w:r>
    </w:p>
    <w:p>
      <w:r>
        <w:t>If Indian law applies, the Van (Sanrakshan Evam Samvardhan) Adhiniyam, 1980, section 2 restricts orders for dereservation or use of forest land for non-forest purposes without prior Central Government approval, subject to the Act's scope, exclusions, rules and applicable approvals at the relevant date. The court must first determine whether the land and activity fall within the law; this rule does not make every instance of tree cutting automatically unlawful.</w:t>
      </w:r>
    </w:p>
    <w:p>
      <w:r>
        <w:t>If Indian law applies, the National Green Tribunal Act, 2010 provides for the Tribunal's specified environmental jurisdiction and relief, compensation and restitution for environmental damage in section 15; section 20 addresses sustainable development, the precautionary principle and polluter-pays principle. The NGT's statutory jurisdiction should not be assumed for every ordinary court case. The Environment (Protection) Act, 1986 gives the Central Government specified powers to protect and improve the environment and issue directions; the proper forum and remedy depend on the claim and current law.</w:t>
      </w:r>
    </w:p>
    <w:p>
      <w:r>
        <w:t>The Supreme Court of India has described polluter-pays compensation as extending to environmental remediation/restoration and, where supported, losses to affected persons and ecological services. Any amount requires objective, site-specific evidence; the sample contains no measurements from which to calculate liability or compensation.</w:t>
      </w:r>
    </w:p>
    <w:p>
      <w:r>
        <w:t>Application to the supplied fictional file: it lists forest records, approvals, imagery, witness statements and an environmental assessment as evidence to examine, but supplies none of those records or a jurisdiction. It therefore does not establish statutory forest status, absence of required approval, that Greenfield Developers performed the clearing, environmental damage, causation, or a final remedy.</w:t>
      </w:r>
    </w:p>
    <w:p>
      <w:r>
        <w:t>Official authorities for conditional Indian-law research: Van (Sanrakshan Evam Samvardhan) Adhiniyam, 1980: https://www.indiacode.nic.in/bitstream/123456789/1760/4/a1980-69.pdf ; Environment (Protection) Act, 1986: https://www.indiacode.nic.in/bitstream/123456789/5334/1/environment_protection_act_1986.pdf ; National Green Tribunal Act, 2010: https://www.indiacode.nic.in/bitstream/123456789/2025/1/AA2010__19green.pdf ; Supreme Court of India judgment, 17 November 2025, Writ Petition (Civil) No. 202 of 1995: https://api.sci.gov.in/supremecourt/1995/2997/2997_1995_1_1501_66003_Judgement_17-Nov-2025.pdf . Verify consolidated laws, amendments, rules and jurisdiction before relying on this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