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FICTIONAL DEMO CONTRACT DISPUTE</w:t>
      </w:r>
    </w:p>
    <w:p>
      <w:r>
        <w:t>SYNTHETIC DEMONSTRATION RECORD. This fictional record exists only to demonstrate the local Casewise application. All parties and events are invented.</w:t>
      </w:r>
    </w:p>
    <w:p>
      <w:r>
        <w:t>On March 1, 2025, fictional seller Northstar Office Supply LLC delivered 100 ergonomic chairs to fictional buyer Example Legal Clinic. The buyer found 20 chairs damaged on arrival. The purchase price was 25,000 dollars.</w:t>
      </w:r>
    </w:p>
    <w:p>
      <w:r>
        <w:t>Clause 7.2 of the fictional purchase agreement requires the seller to replace any chairs damaged at delivery within ten calendar days after receiving written notice from the buyer.</w:t>
      </w:r>
    </w:p>
    <w:p>
      <w:r>
        <w:t>The buyer sent written notice of the damaged chairs on March 5, 2025. Under Clause 7.2, the replacement deadline for this notice was March 15, 2025.</w:t>
      </w:r>
    </w:p>
    <w:p>
      <w:r>
        <w:t>On March 6, 2025, Northstar Office Supply confirmed in writing that it would replace the 20 damaged chairs by March 15, 2025.</w:t>
      </w:r>
    </w:p>
    <w:p>
      <w:r>
        <w:t>The fictional receiving log states that no replacement chairs had arrived by March 20,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