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Decide the Competing Land-Title Claims</w:t>
      </w:r>
    </w:p>
    <w:p>
      <w:r>
        <w:t>Issue-focused research aid for a fictional Maharashtra agricultural-land sample. This is a locally written summary, not a primary authority or legal advice. The uploaded declaration supplies allegations, not proof.</w:t>
      </w:r>
    </w:p>
    <w:p>
      <w:r>
        <w:t>For a 2015 registered sale deed versus a 2012 family partition, chronology alone does not decide title. The plaintiff must trace the seller?s own title and show the deed schedule covers the precise 20 ares. Transfer of Property Act, 1882, section 54 requires a registered instrument for sale of ordinary immovable property of this value, but the Supreme Court says a seller cannot convey better title than the seller owns. The defendant must prove the partition was a bona fide, voluntary family arrangement among people with an antecedent title, claim, or interest, and that it allotted this exact strip. A family arrangement may be oral; if a writing itself creates or declares property rights, Registration Act section 17 generally requires registration, while a later memorandum of an already completed oral arrangement may be treated differently. If the valid 2012 partition gave these 20 ares to the defendant, the 2015 seller could not convey them; if the partition is unproved or does not cover the strip and the seller owned it, the plaintiff?s deed may prevail. The court should compare the original deed and vendor-title chain, partition instrument or credible oral-partition evidence, family shares, 7/12 and mutation history, possession, and an accurate survey/demarcation. Revenue entries alone do not establish title. The declaration provided alleges these documents exist but supplies none and reports no final title finding, so it does not establish which party owns the land.</w:t>
      </w:r>
    </w:p>
    <w:p>
      <w:r>
        <w:t>Burden of proof: Bharatiya Sakshya Adhiniyam, 2023, sections 104?105. Official text: https://www.indiacode.nic.in/bitstream/123456789/20063/1/a2023-47.pdf</w:t>
      </w:r>
    </w:p>
    <w:p>
      <w:r>
        <w:t>Sale and seller?s title: Transfer of Property Act, 1882, section 54; Supreme Court of India judgment dated 20 November 2023. Official sources: https://www.indiacode.nic.in/bitstream/123456789/14648/1/tpa.pdf ; https://api.sci.gov.in/supremecourt/2011/10304/10304_2011_5_1501_48291_Judgement_20-Nov-2023.pdf</w:t>
      </w:r>
    </w:p>
    <w:p>
      <w:r>
        <w:t>Family arrangement and registration: Supreme Court of India judgment dated 11 August 2020 quoting Kale v. Deputy Director of Consolidation; Registration Act, 1908, sections 17 and 49. Official sources: https://api.sci.gov.in/supremecourt/2018/32601/32601_2018_33_1501_23387_Judgement_11-Aug-2020.pdf ; https://www.indiacode.nic.in/bitstream/123456789/19013/1/the_registration_act%2C_1908.pdf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