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Maharashtra Agricultural Land Title Dispute ? Legal Framework Note</w:t>
      </w:r>
    </w:p>
    <w:p>
      <w:r>
        <w:t>Prepared for local RAG testing on 29 October 2026. This is a sourced summary, not a primary legal authority or legal advice. The accompanying declaration describes itself as a fictional software-testing sample and states allegations; it is not proof that those allegations are true.</w:t>
      </w:r>
    </w:p>
    <w:p>
      <w:pPr>
        <w:pStyle w:val="Heading1"/>
      </w:pPr>
      <w:r>
        <w:t>Burden and proof</w:t>
      </w:r>
    </w:p>
    <w:p>
      <w:r>
        <w:t>The Bharatiya Sakshya Adhiniyam, 2023 (in force from 1 July 2024), section 104, places the burden on a person asking the court to recognize a right based on facts that person asserts. Section 105 places the burden on the party who would fail if neither side produced evidence. The plaintiff therefore must establish a legally sufficient title to the disputed portion; the defendant must prove the facts and legal effect of the asserted 2012 partition. A weak defence does not by itself prove the plaintiff?s title.</w:t>
      </w:r>
    </w:p>
    <w:p>
      <w:pPr>
        <w:pStyle w:val="Heading1"/>
      </w:pPr>
      <w:r>
        <w:t>2015 registered sale deed</w:t>
      </w:r>
    </w:p>
    <w:p>
      <w:r>
        <w:t>Transfer of Property Act, 1882, section 54, requires a registered instrument to sell ordinary immovable property of this value. Registration is material evidence of the conveyance, but the buyer receives only the title the seller actually had. The Supreme Court has reiterated that a vendor cannot convey a better title than the vendor possesses. The court should trace Shankar Pawar?s title, check the deed?s schedule and boundaries, and determine whether the 20 ares were included and owned by him in 2015.</w:t>
      </w:r>
    </w:p>
    <w:p>
      <w:pPr>
        <w:pStyle w:val="Heading1"/>
      </w:pPr>
      <w:r>
        <w:t>2012 family partition</w:t>
      </w:r>
    </w:p>
    <w:p>
      <w:r>
        <w:t>A genuine family arrangement can be oral. The Supreme Court, restating Kale v. Deputy Director of Consolidation, explains that an oral arrangement does not require registration; registration is required when a writing itself creates or declares rights in immovable property. A later memorandum that only records an already completed oral arrangement may be different. The arrangement must be bona fide and voluntary, and the participants must have an antecedent title, claim, or interest. If the purported partition document itself effects the partition, Registration Act, 1908, section 17(1)(b), is relevant; section 49 limits the property effect and evidentiary use of a required but unregistered instrument.</w:t>
      </w:r>
    </w:p>
    <w:p>
      <w:pPr>
        <w:pStyle w:val="Heading1"/>
      </w:pPr>
      <w:r>
        <w:t>7/12 and mutation entries</w:t>
      </w:r>
    </w:p>
    <w:p>
      <w:r>
        <w:t>The Supreme Court treats mutation entries as fiscal records: they do not by themselves create or establish title. They may be considered with other evidence, including possession and the history of the land, but they cannot replace proof of the competing title chains or a valid partition.</w:t>
      </w:r>
    </w:p>
    <w:p>
      <w:pPr>
        <w:pStyle w:val="Heading1"/>
      </w:pPr>
      <w:r>
        <w:t>Application to the stated facts</w:t>
      </w:r>
    </w:p>
    <w:p>
      <w:r>
        <w:t>Chronology alone does not decide ownership. If the defendant proves a valid 2012 partition that allocated these exact 20 ares to him, a 2015 deed from a seller who no longer owned that portion would not defeat that prior title. If the partition is not proved or does not cover the disputed strip, and the plaintiff proves that the seller owned it and conveyed it by the 2015 registered deed, the plaintiff?s claim is stronger. The court should determine the precise 20-are location by comparing the deed schedules, partition terms, land records, possession evidence, and a reliable survey or demarcation.</w:t>
      </w:r>
    </w:p>
    <w:p>
      <w:r>
        <w:t>The uploaded declaration alone is insufficient to identify the rightful owner: it pleads that a sale deed, 7/12 entry, and partition document exist but supplies none of them, does not establish the parties? family relationship or antecedent shares, and states that no competent authority has made a final title finding. Obtain and compare the original/ certified 2015 sale deed and its vendor-title chain; the complete 2012 partition instrument or evidence of the oral partition; the family tree and shares; historical 7/12/mutation records; and a survey plan demarcating the 20 ares.</w:t>
      </w:r>
    </w:p>
    <w:p>
      <w:pPr>
        <w:pStyle w:val="Heading1"/>
      </w:pPr>
      <w:r>
        <w:t>Official sources for verification</w:t>
      </w:r>
    </w:p>
    <w:p>
      <w:pPr>
        <w:pStyle w:val="ListBullet"/>
      </w:pPr>
      <w:r>
        <w:t>Transfer of Property Act, 1882, sections 54?55, India Code: https://www.indiacode.nic.in/bitstream/123456789/14648/1/tpa.pdf</w:t>
      </w:r>
    </w:p>
    <w:p>
      <w:pPr>
        <w:pStyle w:val="ListBullet"/>
      </w:pPr>
      <w:r>
        <w:t>Registration Act, 1908, sections 17 and 49, India Code: https://www.indiacode.nic.in/bitstream/123456789/19013/1/the_registration_act%2C_1908.pdf</w:t>
      </w:r>
    </w:p>
    <w:p>
      <w:pPr>
        <w:pStyle w:val="ListBullet"/>
      </w:pPr>
      <w:r>
        <w:t>Bharatiya Sakshya Adhiniyam, 2023, sections 104?105, India Code: https://www.indiacode.nic.in/bitstream/123456789/20063/1/a2023-47.pdf</w:t>
      </w:r>
    </w:p>
    <w:p>
      <w:pPr>
        <w:pStyle w:val="ListBullet"/>
      </w:pPr>
      <w:r>
        <w:t>Supreme Court of India judgment dated 11 August 2020, quoting Kale v. Deputy Director of Consolidation on family arrangements: https://api.sci.gov.in/supremecourt/2018/32601/32601_2018_33_1501_23387_Judgement_11-Aug-2020.pdf</w:t>
      </w:r>
    </w:p>
    <w:p>
      <w:pPr>
        <w:pStyle w:val="ListBullet"/>
      </w:pPr>
      <w:r>
        <w:t>Supreme Court of India judgment dated 20 November 2023 on revenue mutation and the vendor?s title: https://api.sci.gov.in/supremecourt/2011/10304/10304_2011_5_1501_48291_Judgement_20-Nov-2023.pdf</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