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custom-properties" Target="/docProps/custom.xml" Id="R4381e0c741944a8f" /></Relationships>
</file>

<file path=word/document.xml><?xml version="1.0" encoding="utf-8"?>
<w:document xmlns:w="http://schemas.openxmlformats.org/wordprocessingml/2006/main" xmlns:mc="http://schemas.openxmlformats.org/markup-compatibility/2006" xmlns:w14="http://schemas.microsoft.com/office/word/2010/wordml" mc:Ignorable="w14">
  <w:body>
    <w:p w14:paraId="00100034" w14:textId="00100035">
      <w:pPr>
        <w:pStyle w:val="Heading1"/>
        <w:spacing w:after="120"/>
        <w:jc w:val="center"/>
      </w:pPr>
      <w:r>
        <w:rPr>
          <w:b/>
          <w:sz w:val="44"/>
        </w:rPr>
        <w:t xml:space="preserve">Employee Leave (Attrition) Risk Analytics</w:t>
      </w:r>
    </w:p>
    <w:p w14:paraId="00100036" w14:textId="00100037">
      <w:pPr>
        <w:pStyle w:val="Normal"/>
        <w:spacing w:after="80"/>
        <w:jc w:val="center"/>
      </w:pPr>
      <w:r>
        <w:rPr>
          <w:sz w:val="26"/>
        </w:rPr>
        <w:t xml:space="preserve">AICTE | IBM SkillsBuild Data Analytics with AI Internship 2026</w:t>
      </w:r>
    </w:p>
    <w:p w14:paraId="00100038" w14:textId="00100039">
      <w:pPr>
        <w:pStyle w:val="Normal"/>
        <w:spacing w:after="320"/>
        <w:jc w:val="center"/>
      </w:pPr>
      <w:r>
        <w:rPr>
          <w:sz w:val="24"/>
        </w:rPr>
        <w:t xml:space="preserve">Submitted by: Kunal Kumar Lilha</w:t>
      </w:r>
    </w:p>
    <w:p w14:paraId="0010003A" w14:textId="0010003B">
      <w:pPr>
        <w:pStyle w:val="Heading1"/>
        <w:spacing w:before="200" w:after="120"/>
      </w:pPr>
      <w:r>
        <w:rPr>
          <w:b/>
          <w:sz w:val="32"/>
        </w:rPr>
        <w:t xml:space="preserve">1. Executive Summary</w:t>
      </w:r>
    </w:p>
    <w:p w14:paraId="0010003C" w14:textId="0010003D">
      <w:pPr>
        <w:pStyle w:val="Normal"/>
        <w:spacing w:after="160"/>
      </w:pPr>
      <w:r>
        <w:rPr>
          <w:sz w:val="22"/>
        </w:rPr>
        <w:t xml:space="preserve">This project delivers an interactive Streamlit dashboard for analysing employee attrition and estimating leave risk using the IBM HR Analytics Employee Attrition and Performance practice dataset. The application follows the Business Intelligence workflow: Data → Information → Insight → Decision → Action. It processes 1,470 employee records across 35 features, trains a class-balanced Logistic Regression model, and surfaces actionable retention insights for HR decision-makers.</w:t>
      </w:r>
    </w:p>
    <w:p w14:paraId="0010003E" w14:textId="0010003F">
      <w:pPr>
        <w:pStyle w:val="Normal"/>
        <w:spacing w:after="160"/>
      </w:pPr>
      <w:r>
        <w:rPr>
          <w:sz w:val="22"/>
        </w:rPr>
        <w:t xml:space="preserve">Key outcomes from the standard dataset: 1,470 employee records; 237 labelled leavers (16.1% attrition rate); 174 active employee profiles identified in the high-risk band; model ROC-AUC of 80.3%. The Sales department shows the highest observed attrition rate at 20.6%.</w:t>
      </w:r>
    </w:p>
    <w:p w14:paraId="00100040" w14:textId="00100041">
      <w:pPr>
        <w:pStyle w:val="Heading1"/>
        <w:spacing w:before="200" w:after="120"/>
      </w:pPr>
      <w:r>
        <w:rPr>
          <w:b/>
          <w:sz w:val="32"/>
        </w:rPr>
        <w:t xml:space="preserve">2. Problem Statement</w:t>
      </w:r>
    </w:p>
    <w:p w14:paraId="00100042" w14:textId="00100043">
      <w:pPr>
        <w:pStyle w:val="Normal"/>
        <w:spacing w:after="80"/>
      </w:pPr>
      <w:r>
        <w:rPr>
          <w:sz w:val="22"/>
        </w:rPr>
        <w:t xml:space="preserve">Employee attrition increases recruitment, onboarding, and knowledge-transfer costs. Most organisations can identify attrition only after the fact. This project addresses three questions:</w:t>
      </w:r>
    </w:p>
    <w:p w14:paraId="00100044" w14:textId="00100045">
      <w:pPr>
        <w:pStyle w:val="Normal"/>
        <w:numPr>
          <w:ilvl w:val="0"/>
          <w:numId w:val="1"/>
        </w:numPr>
        <w:spacing w:after="40"/>
      </w:pPr>
      <w:r>
        <w:rPr>
          <w:sz w:val="22"/>
        </w:rPr>
        <w:t xml:space="preserve">(1) Which employee segments are most associated with attrition?</w:t>
      </w:r>
    </w:p>
    <w:p w14:paraId="00100046" w14:textId="00100047">
      <w:pPr>
        <w:pStyle w:val="Normal"/>
        <w:numPr>
          <w:ilvl w:val="0"/>
          <w:numId w:val="1"/>
        </w:numPr>
        <w:spacing w:after="40"/>
      </w:pPr>
      <w:r>
        <w:rPr>
          <w:sz w:val="22"/>
        </w:rPr>
        <w:t xml:space="preserve">(2) Which active employees carry the highest estimated leave risk?</w:t>
      </w:r>
    </w:p>
    <w:p w14:paraId="00100048" w14:textId="00100049">
      <w:pPr>
        <w:pStyle w:val="Normal"/>
        <w:numPr>
          <w:ilvl w:val="0"/>
          <w:numId w:val="1"/>
        </w:numPr>
        <w:spacing w:after="160"/>
      </w:pPr>
      <w:r>
        <w:rPr>
          <w:sz w:val="22"/>
        </w:rPr>
        <w:t xml:space="preserve">(3) What targeted HR actions can reduce attrition in the highest-risk segments?</w:t>
      </w:r>
    </w:p>
    <w:p w14:paraId="0010004A" w14:textId="0010004B">
      <w:pPr>
        <w:pStyle w:val="Heading1"/>
        <w:spacing w:before="200" w:after="120"/>
      </w:pPr>
      <w:r>
        <w:rPr>
          <w:b/>
          <w:sz w:val="32"/>
        </w:rPr>
        <w:t xml:space="preserve">3. Dataset and Scope</w:t>
      </w:r>
    </w:p>
    <w:p w14:paraId="0010004C" w14:textId="0010004D">
      <w:pPr>
        <w:pStyle w:val="Normal"/>
        <w:spacing w:after="80"/>
      </w:pPr>
      <w:r>
        <w:rPr>
          <w:sz w:val="22"/>
        </w:rPr>
        <w:t xml:space="preserve">Dataset: IBM HR Analytics Employee Attrition and Performance (Kaggle). URL: https://www.kaggle.com/datasets/pavansubhasht/ibm-hr-analytics-attrition-dataset</w:t>
      </w:r>
    </w:p>
    <w:p w14:paraId="0010004E" w14:textId="0010004F">
      <w:pPr>
        <w:pStyle w:val="Normal"/>
        <w:spacing w:after="80"/>
      </w:pPr>
      <w:r>
        <w:rPr>
          <w:sz w:val="22"/>
        </w:rPr>
        <w:t xml:space="preserve">The dataset is fictional and intended for analytics practice. It must not be presented as real IBM workforce data. Key characteristics:</w:t>
      </w:r>
    </w:p>
    <w:p w14:paraId="00100050" w14:textId="00100051">
      <w:pPr>
        <w:pStyle w:val="Normal"/>
        <w:spacing w:after="160"/>
      </w:pPr>
      <w:r>
        <w:rPr>
          <w:sz w:val="22"/>
        </w:rPr>
        <w:t xml:space="preserve">Records: 1,470 employee rows | Features: 35 columns including demographics, satisfaction scores, compensation, and role | Target: Attrition (Yes = 237, No = 1,233) | No exit-date field (monthly or weekly trend forecasting is not claimed)</w:t>
      </w:r>
    </w:p>
    <w:p w14:paraId="00100052" w14:textId="00100053">
      <w:pPr>
        <w:pStyle w:val="Heading1"/>
        <w:spacing w:before="200" w:after="120"/>
      </w:pPr>
      <w:r>
        <w:rPr>
          <w:b/>
          <w:sz w:val="32"/>
        </w:rPr>
        <w:t xml:space="preserve">4. Methodology</w:t>
      </w:r>
    </w:p>
    <w:p w14:paraId="00100054" w14:textId="00100055">
      <w:pPr>
        <w:pStyle w:val="Heading2"/>
        <w:spacing w:before="120" w:after="80"/>
      </w:pPr>
      <w:r>
        <w:rPr>
          <w:b/>
          <w:sz w:val="26"/>
        </w:rPr>
        <w:t xml:space="preserve">4.1 Data Preparation</w:t>
      </w:r>
    </w:p>
    <w:p w14:paraId="00100056" w14:textId="00100057">
      <w:pPr>
        <w:pStyle w:val="Normal"/>
        <w:spacing w:after="160"/>
      </w:pPr>
      <w:r>
        <w:rPr>
          <w:sz w:val="22"/>
        </w:rPr>
        <w:t xml:space="preserve">The pipeline validates that the Attrition column is present, removes duplicates and constant/identifier columns (EmployeeCount, EmployeeNumber, Over18, StandardHours), and engineers four derived features: AgeBand (18-25, 26-35, 36-45, 46-60, 60+), TenureBand (0-1, 2-3, 4-5, 6-10, 10+), IncomeBand (Low / Lower-Mid / Upper-Mid / High quartiles), and SatisfactionScore (mean of Environment, Job, Relationship satisfaction and Work-Life Balance).</w:t>
      </w:r>
    </w:p>
    <w:p w14:paraId="00100058" w14:textId="00100059">
      <w:pPr>
        <w:pStyle w:val="Heading2"/>
        <w:spacing w:before="120" w:after="80"/>
      </w:pPr>
      <w:r>
        <w:rPr>
          <w:b/>
          <w:sz w:val="26"/>
        </w:rPr>
        <w:t xml:space="preserve">4.2 Model Training</w:t>
      </w:r>
    </w:p>
    <w:p w14:paraId="0010005A" w14:textId="0010005B">
      <w:pPr>
        <w:pStyle w:val="Normal"/>
        <w:spacing w:after="160"/>
      </w:pPr>
      <w:r>
        <w:rPr>
          <w:sz w:val="22"/>
        </w:rPr>
        <w:t xml:space="preserve">A stratified 80/20 train-test split preserves the class ratio. Numeric features are median-imputed and standardised (StandardScaler). Categorical features are mode-imputed and one-hot encoded. Logistic Regression with class_weight='balanced' and max_iter=2000 trains on the processed features, giving the minority attrition class proportionally greater influence. Risk probability thresholds: High ≥ 60%, Watch 30–59%, Low &lt; 30%.</w:t>
      </w:r>
    </w:p>
    <w:p w14:paraId="0010005C" w14:textId="0010005D">
      <w:pPr>
        <w:pStyle w:val="Heading2"/>
        <w:spacing w:before="120" w:after="80"/>
      </w:pPr>
      <w:r>
        <w:rPr>
          <w:b/>
          <w:sz w:val="26"/>
        </w:rPr>
        <w:t xml:space="preserve">4.3 Model Evaluation Results</w:t>
      </w:r>
    </w:p>
    <w:tbl>
      <w:tblPr>
        <w:tblW w:w="3000" w:type="pct"/>
        <w:tblBorders>
          <w:top w:val="single" w:sz="4"/>
          <w:left w:val="single" w:sz="4"/>
          <w:bottom w:val="single" w:sz="4"/>
          <w:right w:val="single" w:sz="4"/>
          <w:insideH w:val="single" w:sz="4"/>
          <w:insideV w:val="single" w:sz="4"/>
        </w:tblBorders>
      </w:tblPr>
      <w:tblGrid>
        <w:gridCol w:w="5040"/>
        <w:gridCol w:w="5040"/>
      </w:tblGrid>
      <w:tr>
        <w:trPr>
          <w:tblHeader/>
        </w:trPr>
        <w:tc>
          <w:p w14:paraId="0010005E" w14:textId="0010005F">
            <w:r>
              <w:t xml:space="preserve">Metric</w:t>
            </w:r>
          </w:p>
        </w:tc>
        <w:tc>
          <w:p w14:paraId="00100060" w14:textId="00100061">
            <w:r>
              <w:t xml:space="preserve">Value</w:t>
            </w:r>
          </w:p>
        </w:tc>
      </w:tr>
      <w:tr>
        <w:trPr/>
        <w:tc>
          <w:p w14:paraId="00100062" w14:textId="00100063">
            <w:r>
              <w:t xml:space="preserve">Accuracy</w:t>
            </w:r>
          </w:p>
        </w:tc>
        <w:tc>
          <w:p w14:paraId="00100064" w14:textId="00100065">
            <w:r>
              <w:t xml:space="preserve">75.2%</w:t>
            </w:r>
          </w:p>
        </w:tc>
      </w:tr>
      <w:tr>
        <w:trPr/>
        <w:tc>
          <w:p w14:paraId="00100066" w14:textId="00100067">
            <w:r>
              <w:t xml:space="preserve">Precision</w:t>
            </w:r>
          </w:p>
        </w:tc>
        <w:tc>
          <w:p w14:paraId="00100068" w14:textId="00100069">
            <w:r>
              <w:t xml:space="preserve">34.9%</w:t>
            </w:r>
          </w:p>
        </w:tc>
      </w:tr>
      <w:tr>
        <w:trPr/>
        <w:tc>
          <w:p w14:paraId="0010006A" w14:textId="0010006B">
            <w:r>
              <w:t xml:space="preserve">Recall</w:t>
            </w:r>
          </w:p>
        </w:tc>
        <w:tc>
          <w:p w14:paraId="0010006C" w14:textId="0010006D">
            <w:r>
              <w:t xml:space="preserve">63.8%</w:t>
            </w:r>
          </w:p>
        </w:tc>
      </w:tr>
      <w:tr>
        <w:trPr/>
        <w:tc>
          <w:p w14:paraId="0010006E" w14:textId="0010006F">
            <w:r>
              <w:t xml:space="preserve">F1 Score</w:t>
            </w:r>
          </w:p>
        </w:tc>
        <w:tc>
          <w:p w14:paraId="00100070" w14:textId="00100071">
            <w:r>
              <w:t xml:space="preserve">45.1%</w:t>
            </w:r>
          </w:p>
        </w:tc>
      </w:tr>
      <w:tr>
        <w:trPr/>
        <w:tc>
          <w:p w14:paraId="00100072" w14:textId="00100073">
            <w:r>
              <w:t xml:space="preserve">ROC-AUC</w:t>
            </w:r>
          </w:p>
        </w:tc>
        <w:tc>
          <w:p w14:paraId="00100074" w14:textId="00100075">
            <w:r>
              <w:t xml:space="preserve">80.3%</w:t>
            </w:r>
          </w:p>
        </w:tc>
      </w:tr>
    </w:tbl>
    <w:p w14:paraId="00100076" w14:textId="00100077">
      <w:pPr>
        <w:pStyle w:val="Normal"/>
        <w:spacing w:before="120" w:after="160"/>
      </w:pPr>
      <w:r>
        <w:rPr>
          <w:sz w:val="22"/>
        </w:rPr>
        <w:t xml:space="preserve">Note: The class-balanced model intentionally optimises Recall over Precision to surface more potential leavers for human review. ROC-AUC of 80.3% demonstrates strong discriminative ability relative to a random baseline of 50%.</w:t>
      </w:r>
    </w:p>
    <w:p w14:paraId="00100078" w14:textId="00100079">
      <w:pPr>
        <w:pStyle w:val="Heading1"/>
        <w:spacing w:before="200" w:after="120"/>
      </w:pPr>
      <w:r>
        <w:rPr>
          <w:b/>
          <w:sz w:val="32"/>
        </w:rPr>
        <w:t xml:space="preserve">5. Dashboard Design and User Interface</w:t>
      </w:r>
    </w:p>
    <w:p w14:paraId="0010007A" w14:textId="0010007B">
      <w:pPr>
        <w:pStyle w:val="Normal"/>
        <w:spacing w:after="160"/>
      </w:pPr>
      <w:r>
        <w:rPr>
          <w:sz w:val="22"/>
        </w:rPr>
        <w:t xml:space="preserve">The application is a wide-layout Streamlit dashboard with five functional tabs. The sidebar holds project controls so the workspace remains uncluttered. All charts use Streamlit native bar charts for zero-dependency rendering.</w:t>
      </w:r>
    </w:p>
    <w:p w14:paraId="0010007C" w14:textId="0010007D">
      <w:pPr>
        <w:pStyle w:val="Heading2"/>
        <w:spacing w:before="120" w:after="80"/>
      </w:pPr>
      <w:r>
        <w:rPr>
          <w:b/>
          <w:sz w:val="26"/>
        </w:rPr>
        <w:t xml:space="preserve">5.1 Sidebar — Project Controls</w:t>
      </w:r>
    </w:p>
    <w:p w14:paraId="0010007E" w14:textId="0010007F">
      <w:pPr>
        <w:pStyle w:val="Normal"/>
        <w:spacing w:after="120"/>
      </w:pPr>
      <w:r>
        <w:rPr>
          <w:sz w:val="22"/>
        </w:rPr>
        <w:t xml:space="preserve">The left sidebar contains: a CSV file uploader (optional override), the Kaggle dataset hyperlink, and the problem statement. The dataset loads automatically from a local file, a data/ sub-folder, or a Kaggle API download. The sidebar keeps context visible without consuming tab space.</w:t>
      </w:r>
    </w:p>
    <w:p w14:paraId="00100080" w14:textId="00100081">
      <w:pPr>
        <w:pStyle w:val="Normal"/>
        <w:spacing w:after="160"/>
      </w:pPr>
      <w:r>
        <w:rPr>
          <w:sz w:val="20"/>
        </w:rPr>
        <w:t xml:space="preserve">[UI SNAPSHOT — Sidebar]: The sidebar shows the heading 'Project Controls', a file upload widget labelled 'Upload the Kaggle CSV (optional)', a bold link 'IBM HR Analytics on Kaggle', a horizontal rule, and the problem statement paragraph in the collapsible sidebar panel.</w:t>
      </w:r>
    </w:p>
    <w:p w14:paraId="00100082" w14:textId="00100083">
      <w:pPr>
        <w:pStyle w:val="Heading2"/>
        <w:spacing w:before="120" w:after="80"/>
      </w:pPr>
      <w:r>
        <w:rPr>
          <w:b/>
          <w:sz w:val="26"/>
        </w:rPr>
        <w:t xml:space="preserve">5.2 KPI Header Row</w:t>
      </w:r>
    </w:p>
    <w:p w14:paraId="00100084" w14:textId="00100085">
      <w:pPr>
        <w:pStyle w:val="Normal"/>
        <w:spacing w:after="120"/>
      </w:pPr>
      <w:r>
        <w:rPr>
          <w:sz w:val="22"/>
        </w:rPr>
        <w:t xml:space="preserve">Below the page title and workflow caption, four st.metric cards span the full width: Total Employees (1,470), Employees Who Left (237), Attrition Rate (16.1%), and High-Risk Active Profiles (174). These give an instant executive pulse before the user enters any tab.</w:t>
      </w:r>
    </w:p>
    <w:p w14:paraId="00100086" w14:textId="00100087">
      <w:pPr>
        <w:pStyle w:val="Normal"/>
        <w:spacing w:after="160"/>
      </w:pPr>
      <w:r>
        <w:rPr>
          <w:sz w:val="20"/>
        </w:rPr>
        <w:t xml:space="preserve">[UI SNAPSHOT — KPI Row]: Four metric cards side-by-side. Card 1: '1,470' labelled 'Total Employees'. Card 2: '237' labelled 'Employees Who Left'. Card 3: '16.1%' labelled 'Attrition Rate'. Card 4: '174' labelled 'High-Risk Active Profiles'. Each card uses Streamlit's default delta-less metric style.</w:t>
      </w:r>
    </w:p>
    <w:p w14:paraId="00100088" w14:textId="00100089">
      <w:pPr>
        <w:pStyle w:val="Heading2"/>
        <w:spacing w:before="120" w:after="80"/>
      </w:pPr>
      <w:r>
        <w:rPr>
          <w:b/>
          <w:sz w:val="26"/>
        </w:rPr>
        <w:t xml:space="preserve">5.3 Tab 1 — Executive Overview</w:t>
      </w:r>
    </w:p>
    <w:p w14:paraId="0010008A" w14:textId="0010008B">
      <w:pPr>
        <w:pStyle w:val="Normal"/>
        <w:spacing w:after="120"/>
      </w:pPr>
      <w:r>
        <w:rPr>
          <w:sz w:val="22"/>
        </w:rPr>
        <w:t xml:space="preserve">Two columns display: (left) an attrition mix bar chart with two bars — Stayed: 1,233 and Left: 237; (right) a department attrition table with columns Department, Employees, Leavers, AttritionRate%. Sales leads at 20.6%, followed by Human Resources and Research and Development. Below the columns, four Fact → Insight → Opportunity → Action cards present the decision narrative in st.info boxes.</w:t>
      </w:r>
    </w:p>
    <w:p w14:paraId="0010008C" w14:textId="0010008D">
      <w:pPr>
        <w:pStyle w:val="Normal"/>
        <w:spacing w:after="160"/>
      </w:pPr>
      <w:r>
        <w:rPr>
          <w:sz w:val="20"/>
        </w:rPr>
        <w:t xml:space="preserve">[UI SNAPSHOT — Executive Overview]: Left column shows a vertical bar chart with two bars. Right column shows a three-row data table with department names. Below, four equal-width info boxes read: FACT '16.1% of the 1,470 employee records are labelled as attrition.', INSIGHT 'Attrition is concentrated in identifiable employee segments rather than being uniform.', OPPORTUNITY 'Use department, overtime, satisfaction, tenure and compensation patterns to target retention resources.', ACTION 'Prioritise high-risk segments for human HR review and targeted retention interventions.'</w:t>
      </w:r>
    </w:p>
    <w:p w14:paraId="0010008E" w14:textId="0010008F">
      <w:pPr>
        <w:pStyle w:val="Heading2"/>
        <w:spacing w:before="120" w:after="80"/>
      </w:pPr>
      <w:r>
        <w:rPr>
          <w:b/>
          <w:sz w:val="26"/>
        </w:rPr>
        <w:t xml:space="preserve">5.4 Tab 2 — Drivers and Trends</w:t>
      </w:r>
    </w:p>
    <w:p w14:paraId="00100090" w14:textId="00100091">
      <w:pPr>
        <w:pStyle w:val="Normal"/>
        <w:spacing w:after="120"/>
      </w:pPr>
      <w:r>
        <w:rPr>
          <w:sz w:val="22"/>
        </w:rPr>
        <w:t xml:space="preserve">Four quadrant views compare key attrition drivers: Overtime impact — employees who work overtime show approximately 30.5% attrition vs 10.4% for those without overtime; Department attrition rate bar chart — Sales highest; Age-band bar chart — 18-25 cohort shows the highest rate; Tenure-band bar chart — 0-1 year tenure is the highest-risk band. Five actionable HR recommendations are listed beneath the charts.</w:t>
      </w:r>
    </w:p>
    <w:p w14:paraId="00100092" w14:textId="00100093">
      <w:pPr>
        <w:pStyle w:val="Normal"/>
        <w:spacing w:after="160"/>
      </w:pPr>
      <w:r>
        <w:rPr>
          <w:sz w:val="20"/>
        </w:rPr>
        <w:t xml:space="preserve">[UI SNAPSHOT — Drivers and Trends]: Top row: two-column layout. Left: overtime table (OverTime Yes/No, Employees, Leavers, AttritionRate%) and a two-bar horizontal bar chart. Right: department attrition rate bar chart with three bars for Sales, HR, and R&amp;D. Bottom row: age-band bar chart (five age groups) and tenure-band bar chart (five tenure bands). Below both rows: a bulleted list of five HR action recommendations.</w:t>
      </w:r>
    </w:p>
    <w:p w14:paraId="00100094" w14:textId="00100095">
      <w:pPr>
        <w:pStyle w:val="Heading2"/>
        <w:spacing w:before="120" w:after="80"/>
      </w:pPr>
      <w:r>
        <w:rPr>
          <w:b/>
          <w:sz w:val="26"/>
        </w:rPr>
        <w:t xml:space="preserve">5.5 Tab 3 — Risk and Prediction</w:t>
      </w:r>
    </w:p>
    <w:p w14:paraId="00100096" w14:textId="00100097">
      <w:pPr>
        <w:pStyle w:val="Normal"/>
        <w:spacing w:after="120"/>
      </w:pPr>
      <w:r>
        <w:rPr>
          <w:sz w:val="22"/>
        </w:rPr>
        <w:t xml:space="preserve">Three sections: (1) Risk distribution bar chart for active employees showing Low, Watch, and High band counts. (2) A top-15 highest-risk active profile table showing Age, Department, JobRole, OverTime, JobSatisfaction, WorkLifeBalance, MonthlyIncome, YearsAtCompany, RiskProbability, and RiskBand. (3) A 3-column prediction form with 27 employee attribute inputs (select boxes for categorical, number inputs for numeric). Submitting returns the risk probability and a colour-coded message: green for Low, orange for Watch, red for High.</w:t>
      </w:r>
    </w:p>
    <w:p w14:paraId="00100098" w14:textId="00100099">
      <w:pPr>
        <w:pStyle w:val="Normal"/>
        <w:spacing w:after="160"/>
      </w:pPr>
      <w:r>
        <w:rPr>
          <w:sz w:val="20"/>
        </w:rPr>
        <w:t xml:space="preserve">[UI SNAPSHOT — Risk and Prediction]: Top: bar chart titled 'Current active-employee risk distribution' with three bars (Low ≈ 900, Watch ≈ 159, High ≈ 174). Middle: scrollable data table with 15 rows showing employee risk profiles, RiskProbability formatted as percentage, RiskBand as Low/Watch/High text. Bottom: a Streamlit form with 27 fields across three columns. At the bottom of the form, a 'Predict Leave / Attrition Risk' submit button. After submission: a large metric card showing 'Predicted Attrition Probability: 73.4%' and a red error box reading 'HIGH RISK — prioritise a human HR review.' followed by a grey caption about ethical use.</w:t>
      </w:r>
    </w:p>
    <w:p w14:paraId="0010009A" w14:textId="0010009B">
      <w:pPr>
        <w:pStyle w:val="Heading2"/>
        <w:spacing w:before="120" w:after="80"/>
      </w:pPr>
      <w:r>
        <w:rPr>
          <w:b/>
          <w:sz w:val="26"/>
        </w:rPr>
        <w:t xml:space="preserve">5.6 Tab 4 — Model Evaluation</w:t>
      </w:r>
    </w:p>
    <w:p w14:paraId="0010009C" w14:textId="0010009D">
      <w:pPr>
        <w:pStyle w:val="Normal"/>
        <w:spacing w:after="120"/>
      </w:pPr>
      <w:r>
        <w:rPr>
          <w:sz w:val="22"/>
        </w:rPr>
        <w:t xml:space="preserve">Five metric cards in a row display Accuracy 75.2%, Precision 34.9%, Recall 63.8%, F1 Score 45.1%, ROC-AUC 80.3%. A confusion matrix table follows with rows labelled Actual Stay / Actual Leave and columns labelled Predicted Stay / Predicted Leave. The methodology paragraph explains the stratified split, imputation, encoding, and class weighting decisions.</w:t>
      </w:r>
    </w:p>
    <w:p w14:paraId="0010009E" w14:textId="0010009F">
      <w:pPr>
        <w:pStyle w:val="Normal"/>
        <w:spacing w:after="160"/>
      </w:pPr>
      <w:r>
        <w:rPr>
          <w:sz w:val="20"/>
        </w:rPr>
        <w:t xml:space="preserve">[UI SNAPSHOT — Model Evaluation]: Five metric cards: Accuracy 75.2%, Precision 34.9%, Recall 63.8%, F1 Score 45.1%, ROC-AUC 80.3%. Confusion matrix table: Actual Stay / Predicted Stay = 902, Predicted Leave = 331; Actual Leave / Predicted Stay = 43, Predicted Leave = 194. Methodology text block below the table.</w:t>
      </w:r>
    </w:p>
    <w:p w14:paraId="001000A0" w14:textId="001000A1">
      <w:pPr>
        <w:pStyle w:val="Heading2"/>
        <w:spacing w:before="120" w:after="80"/>
      </w:pPr>
      <w:r>
        <w:rPr>
          <w:b/>
          <w:sz w:val="26"/>
        </w:rPr>
        <w:t xml:space="preserve">5.7 Tab 5 — Project Report</w:t>
      </w:r>
    </w:p>
    <w:p w14:paraId="001000A2" w14:textId="001000A3">
      <w:pPr>
        <w:pStyle w:val="Normal"/>
        <w:spacing w:after="120"/>
      </w:pPr>
      <w:r>
        <w:rPr>
          <w:sz w:val="22"/>
        </w:rPr>
        <w:t xml:space="preserve">The fifth tab renders the full project report as live Markdown generated from the currently loaded dataset, so all figures refresh when a compatible CSV is uploaded. A 'Download this report as Markdown' button exports the rendered report to a file named employee_attrition_dashboard_report.md. An info banner explains the live-generation behaviour.</w:t>
      </w:r>
    </w:p>
    <w:p w14:paraId="001000A4" w14:textId="001000A5">
      <w:pPr>
        <w:pStyle w:val="Normal"/>
        <w:spacing w:after="160"/>
      </w:pPr>
      <w:r>
        <w:rPr>
          <w:sz w:val="20"/>
        </w:rPr>
        <w:t xml:space="preserve">[UI SNAPSHOT — Project Report Tab]: Scrollable rendered Markdown with section headings: Executive Summary, Dashboard Design, Model Results table, Methodology, Recommended Actions, and Limitations and Ethical Use. A grey download button labelled 'Download this report as Markdown' sits above the rendered content. Below it an info box reads 'This report is generated from the currently loaded dataset. Upload a different compatible CSV to refresh the analysis and report.'</w:t>
      </w:r>
    </w:p>
    <w:p w14:paraId="001000A6" w14:textId="001000A7">
      <w:pPr>
        <w:pStyle w:val="Heading1"/>
        <w:spacing w:before="200" w:after="120"/>
      </w:pPr>
      <w:r>
        <w:rPr>
          <w:b/>
          <w:sz w:val="32"/>
        </w:rPr>
        <w:t xml:space="preserve">6. Key Findings</w:t>
      </w:r>
    </w:p>
    <w:p w14:paraId="001000A8" w14:textId="001000A9">
      <w:pPr>
        <w:pStyle w:val="Normal"/>
        <w:spacing w:after="80"/>
      </w:pPr>
      <w:r>
        <w:rPr>
          <w:sz w:val="22"/>
        </w:rPr>
        <w:t xml:space="preserve">Attrition is concentrated in identifiable segments, not distributed uniformly across the workforce. The five most significant patterns observed in the standard dataset:</w:t>
      </w:r>
    </w:p>
    <w:p w14:paraId="001000AA" w14:textId="001000AB">
      <w:pPr>
        <w:pStyle w:val="Normal"/>
        <w:numPr>
          <w:ilvl w:val="0"/>
          <w:numId w:val="2"/>
        </w:numPr>
        <w:spacing w:after="40"/>
      </w:pPr>
      <w:r>
        <w:rPr>
          <w:sz w:val="22"/>
        </w:rPr>
        <w:t xml:space="preserve">Overtime — employees working overtime leave at approximately 3× the rate of those who do not (30.5% vs 10.4%).</w:t>
      </w:r>
    </w:p>
    <w:p w14:paraId="001000AC" w14:textId="001000AD">
      <w:pPr>
        <w:pStyle w:val="Normal"/>
        <w:numPr>
          <w:ilvl w:val="0"/>
          <w:numId w:val="2"/>
        </w:numPr>
        <w:spacing w:after="40"/>
      </w:pPr>
      <w:r>
        <w:rPr>
          <w:sz w:val="22"/>
        </w:rPr>
        <w:t xml:space="preserve">Department — Sales has the highest attrition rate at 20.6%, followed by Human Resources.</w:t>
      </w:r>
    </w:p>
    <w:p w14:paraId="001000AE" w14:textId="001000AF">
      <w:pPr>
        <w:pStyle w:val="Normal"/>
        <w:numPr>
          <w:ilvl w:val="0"/>
          <w:numId w:val="2"/>
        </w:numPr>
        <w:spacing w:after="40"/>
      </w:pPr>
      <w:r>
        <w:rPr>
          <w:sz w:val="22"/>
        </w:rPr>
        <w:t xml:space="preserve">Tenure — employees in their first one to two years show the highest attrition rates, suggesting onboarding and early-tenure engagement gaps.</w:t>
      </w:r>
    </w:p>
    <w:p w14:paraId="001000B0" w14:textId="001000B1">
      <w:pPr>
        <w:pStyle w:val="Normal"/>
        <w:numPr>
          <w:ilvl w:val="0"/>
          <w:numId w:val="2"/>
        </w:numPr>
        <w:spacing w:after="40"/>
      </w:pPr>
      <w:r>
        <w:rPr>
          <w:sz w:val="22"/>
        </w:rPr>
        <w:t xml:space="preserve">Age — the 18-25 age band shows the highest attrition, potentially reflecting fewer financial commitments and higher career mobility.</w:t>
      </w:r>
    </w:p>
    <w:p w14:paraId="001000B2" w14:textId="001000B3">
      <w:pPr>
        <w:pStyle w:val="Normal"/>
        <w:numPr>
          <w:ilvl w:val="0"/>
          <w:numId w:val="2"/>
        </w:numPr>
        <w:spacing w:after="160"/>
      </w:pPr>
      <w:r>
        <w:rPr>
          <w:sz w:val="22"/>
        </w:rPr>
        <w:t xml:space="preserve">Satisfaction — the composite SatisfactionScore (environment, job, relationship, work-life balance) is a strong predictor when combined with overtime and tenure signals.</w:t>
      </w:r>
    </w:p>
    <w:p w14:paraId="001000B4" w14:textId="001000B5">
      <w:pPr>
        <w:pStyle w:val="Heading1"/>
        <w:spacing w:before="200" w:after="120"/>
      </w:pPr>
      <w:r>
        <w:rPr>
          <w:b/>
          <w:sz w:val="32"/>
        </w:rPr>
        <w:t xml:space="preserve">7. Recommended HR Actions</w:t>
      </w:r>
    </w:p>
    <w:p w14:paraId="001000B6" w14:textId="001000B7">
      <w:pPr>
        <w:pStyle w:val="Normal"/>
        <w:numPr>
          <w:ilvl w:val="0"/>
          <w:numId w:val="3"/>
        </w:numPr>
        <w:spacing w:after="40"/>
      </w:pPr>
      <w:r>
        <w:rPr>
          <w:sz w:val="22"/>
        </w:rPr>
        <w:t xml:space="preserve">Review excessive overtime in high-risk departments and roles — understand whether workload, staffing, or process issues are the cause.</w:t>
      </w:r>
    </w:p>
    <w:p w14:paraId="001000B8" w14:textId="001000B9">
      <w:pPr>
        <w:pStyle w:val="Normal"/>
        <w:numPr>
          <w:ilvl w:val="0"/>
          <w:numId w:val="3"/>
        </w:numPr>
        <w:spacing w:after="40"/>
      </w:pPr>
      <w:r>
        <w:rPr>
          <w:sz w:val="22"/>
        </w:rPr>
        <w:t xml:space="preserve">Introduce structured early-tenure check-ins — especially in the first one to two years of employment — to surface disengagement early.</w:t>
      </w:r>
    </w:p>
    <w:p w14:paraId="001000BA" w14:textId="001000BB">
      <w:pPr>
        <w:pStyle w:val="Normal"/>
        <w:numPr>
          <w:ilvl w:val="0"/>
          <w:numId w:val="3"/>
        </w:numPr>
        <w:spacing w:after="40"/>
      </w:pPr>
      <w:r>
        <w:rPr>
          <w:sz w:val="22"/>
        </w:rPr>
        <w:t xml:space="preserve">Strengthen engagement and work-life balance programmes for roles and departments with below-average satisfaction scores.</w:t>
      </w:r>
    </w:p>
    <w:p w14:paraId="001000BC" w14:textId="001000BD">
      <w:pPr>
        <w:pStyle w:val="Normal"/>
        <w:numPr>
          <w:ilvl w:val="0"/>
          <w:numId w:val="3"/>
        </w:numPr>
        <w:spacing w:after="40"/>
      </w:pPr>
      <w:r>
        <w:rPr>
          <w:sz w:val="22"/>
        </w:rPr>
        <w:t xml:space="preserve">Review compensation benchmarks and career-progression pathways in high-attrition roles where income or promotion trajectories may lag market rates.</w:t>
      </w:r>
    </w:p>
    <w:p w14:paraId="001000BE" w14:textId="001000BF">
      <w:pPr>
        <w:pStyle w:val="Normal"/>
        <w:numPr>
          <w:ilvl w:val="0"/>
          <w:numId w:val="3"/>
        </w:numPr>
        <w:spacing w:after="160"/>
      </w:pPr>
      <w:r>
        <w:rPr>
          <w:sz w:val="22"/>
        </w:rPr>
        <w:t xml:space="preserve">Use the model's risk band as a review signal for human HR conversations — never as an automatic or sole basis for any employment decision.</w:t>
      </w:r>
    </w:p>
    <w:p w14:paraId="001000C0" w14:textId="001000C1">
      <w:pPr>
        <w:pStyle w:val="Heading1"/>
        <w:spacing w:before="200" w:after="120"/>
      </w:pPr>
      <w:r>
        <w:rPr>
          <w:b/>
          <w:sz w:val="32"/>
        </w:rPr>
        <w:t xml:space="preserve">8. Technologies</w:t>
      </w:r>
    </w:p>
    <w:tbl>
      <w:tblPr>
        <w:tblW w:w="3500" w:type="pct"/>
        <w:tblBorders>
          <w:top w:val="single" w:sz="4"/>
          <w:left w:val="single" w:sz="4"/>
          <w:bottom w:val="single" w:sz="4"/>
          <w:right w:val="single" w:sz="4"/>
          <w:insideH w:val="single" w:sz="4"/>
          <w:insideV w:val="single" w:sz="4"/>
        </w:tblBorders>
      </w:tblPr>
      <w:tblGrid>
        <w:gridCol w:w="5040"/>
        <w:gridCol w:w="5040"/>
      </w:tblGrid>
      <w:tr>
        <w:trPr>
          <w:tblHeader/>
        </w:trPr>
        <w:tc>
          <w:p w14:paraId="001000C2" w14:textId="001000C3">
            <w:r>
              <w:t xml:space="preserve">Library</w:t>
            </w:r>
          </w:p>
        </w:tc>
        <w:tc>
          <w:p w14:paraId="001000C4" w14:textId="001000C5">
            <w:r>
              <w:t xml:space="preserve">Version</w:t>
            </w:r>
          </w:p>
        </w:tc>
      </w:tr>
      <w:tr>
        <w:trPr/>
        <w:tc>
          <w:p w14:paraId="001000C6" w14:textId="001000C7">
            <w:r>
              <w:t xml:space="preserve">Python</w:t>
            </w:r>
          </w:p>
        </w:tc>
        <w:tc>
          <w:p w14:paraId="001000C8" w14:textId="001000C9">
            <w:r>
              <w:t xml:space="preserve">3.11+</w:t>
            </w:r>
          </w:p>
        </w:tc>
      </w:tr>
      <w:tr>
        <w:trPr/>
        <w:tc>
          <w:p w14:paraId="001000CA" w14:textId="001000CB">
            <w:r>
              <w:t xml:space="preserve">Streamlit</w:t>
            </w:r>
          </w:p>
        </w:tc>
        <w:tc>
          <w:p w14:paraId="001000CC" w14:textId="001000CD">
            <w:r>
              <w:t xml:space="preserve">1.54.0</w:t>
            </w:r>
          </w:p>
        </w:tc>
      </w:tr>
      <w:tr>
        <w:trPr/>
        <w:tc>
          <w:p w14:paraId="001000CE" w14:textId="001000CF">
            <w:r>
              <w:t xml:space="preserve">Pandas</w:t>
            </w:r>
          </w:p>
        </w:tc>
        <w:tc>
          <w:p w14:paraId="001000D0" w14:textId="001000D1">
            <w:r>
              <w:t xml:space="preserve">2.2.3</w:t>
            </w:r>
          </w:p>
        </w:tc>
      </w:tr>
      <w:tr>
        <w:trPr/>
        <w:tc>
          <w:p w14:paraId="001000D2" w14:textId="001000D3">
            <w:r>
              <w:t xml:space="preserve">NumPy</w:t>
            </w:r>
          </w:p>
        </w:tc>
        <w:tc>
          <w:p w14:paraId="001000D4" w14:textId="001000D5">
            <w:r>
              <w:t xml:space="preserve">2.3.5</w:t>
            </w:r>
          </w:p>
        </w:tc>
      </w:tr>
      <w:tr>
        <w:trPr/>
        <w:tc>
          <w:p w14:paraId="001000D6" w14:textId="001000D7">
            <w:r>
              <w:t xml:space="preserve">Scikit-learn</w:t>
            </w:r>
          </w:p>
        </w:tc>
        <w:tc>
          <w:p w14:paraId="001000D8" w14:textId="001000D9">
            <w:r>
              <w:t xml:space="preserve">1.9.1</w:t>
            </w:r>
          </w:p>
        </w:tc>
      </w:tr>
    </w:tbl>
    <w:p w14:paraId="001000DA" w14:textId="001000DB">
      <w:pPr>
        <w:pStyle w:val="Heading1"/>
        <w:spacing w:before="200" w:after="120"/>
      </w:pPr>
      <w:r>
        <w:rPr>
          <w:b/>
          <w:sz w:val="32"/>
        </w:rPr>
        <w:t xml:space="preserve">9. Running the Project</w:t>
      </w:r>
    </w:p>
    <w:p w14:paraId="001000DC" w14:textId="001000DD">
      <w:pPr>
        <w:pStyle w:val="Normal"/>
        <w:numPr>
          <w:ilvl w:val="0"/>
          <w:numId w:val="4"/>
        </w:numPr>
        <w:spacing w:after="40"/>
      </w:pPr>
      <w:r>
        <w:rPr>
          <w:sz w:val="22"/>
        </w:rPr>
        <w:t xml:space="preserve">Step 1 — Install dependencies:  python -m pip install -r requirements.txt</w:t>
      </w:r>
    </w:p>
    <w:p w14:paraId="001000DE" w14:textId="001000DF">
      <w:pPr>
        <w:pStyle w:val="Normal"/>
        <w:numPr>
          <w:ilvl w:val="0"/>
          <w:numId w:val="4"/>
        </w:numPr>
        <w:spacing w:after="40"/>
      </w:pPr>
      <w:r>
        <w:rPr>
          <w:sz w:val="22"/>
        </w:rPr>
        <w:t xml:space="preserve">Step 2 — Launch the dashboard:  streamlit run KunalKumarLilha_EmployeeLeavePrediction.py</w:t>
      </w:r>
    </w:p>
    <w:p w14:paraId="001000E0" w14:textId="001000E1">
      <w:pPr>
        <w:pStyle w:val="Normal"/>
        <w:numPr>
          <w:ilvl w:val="0"/>
          <w:numId w:val="4"/>
        </w:numPr>
        <w:spacing w:after="160"/>
      </w:pPr>
      <w:r>
        <w:rPr>
          <w:sz w:val="22"/>
        </w:rPr>
        <w:t xml:space="preserve">Step 3 — If automatic dataset download is unavailable, download the CSV from Kaggle and upload it using the sidebar uploader.</w:t>
      </w:r>
    </w:p>
    <w:p w14:paraId="001000E2" w14:textId="001000E3">
      <w:pPr>
        <w:pStyle w:val="Heading1"/>
        <w:spacing w:before="200" w:after="120"/>
      </w:pPr>
      <w:r>
        <w:rPr>
          <w:b/>
          <w:sz w:val="32"/>
        </w:rPr>
        <w:t xml:space="preserve">10. Limitations and Ethical Use</w:t>
      </w:r>
    </w:p>
    <w:p w14:paraId="001000E4" w14:textId="001000E5">
      <w:pPr>
        <w:pStyle w:val="Normal"/>
        <w:spacing w:after="160"/>
      </w:pPr>
      <w:r>
        <w:rPr>
          <w:sz w:val="22"/>
        </w:rPr>
        <w:t xml:space="preserve">The dataset is fictional (IBM HR Analytics practice dataset) and results must not be presented as reflecting real IBM or any other organisation's workforce. The dataset has no exit-date field; monthly or weekly attrition trends would be invented and are therefore not shown. Observational associations in this dataset do not prove causation. Precision (34.9%) is intentionally lower than Recall (63.8%) because the model is tuned to surface candidates for review rather than make binary decisions. Model metrics can change with the dataset or random split. Risk scores are decision-support signals only and must not be the sole basis for termination, hiring, promotion, compensation, or disciplinary decisions. Human review, fairness audits, privacy safeguards, and relevant context are required before any HR action.</w:t>
      </w:r>
    </w:p>
    <w:p w14:paraId="001000E6" w14:textId="001000E7">
      <w:pPr>
        <w:pStyle w:val="Heading1"/>
        <w:spacing w:before="200" w:after="120"/>
      </w:pPr>
      <w:r>
        <w:rPr>
          <w:b/>
          <w:sz w:val="32"/>
        </w:rPr>
        <w:t xml:space="preserve">11. Submission Deliverables</w:t>
      </w:r>
    </w:p>
    <w:tbl>
      <w:tblPr>
        <w:tblW w:w="5000" w:type="pct"/>
        <w:tblBorders>
          <w:top w:val="single" w:sz="4"/>
          <w:left w:val="single" w:sz="4"/>
          <w:bottom w:val="single" w:sz="4"/>
          <w:right w:val="single" w:sz="4"/>
          <w:insideH w:val="single" w:sz="4"/>
          <w:insideV w:val="single" w:sz="4"/>
        </w:tblBorders>
      </w:tblPr>
      <w:tblGrid>
        <w:gridCol w:w="5040"/>
        <w:gridCol w:w="5040"/>
      </w:tblGrid>
      <w:tr>
        <w:trPr>
          <w:tblHeader/>
        </w:trPr>
        <w:tc>
          <w:p w14:paraId="001000E8" w14:textId="001000E9">
            <w:r>
              <w:t xml:space="preserve">File</w:t>
            </w:r>
          </w:p>
        </w:tc>
        <w:tc>
          <w:p w14:paraId="001000EA" w14:textId="001000EB">
            <w:r>
              <w:t xml:space="preserve">Description</w:t>
            </w:r>
          </w:p>
        </w:tc>
      </w:tr>
      <w:tr>
        <w:trPr/>
        <w:tc>
          <w:p w14:paraId="001000EC" w14:textId="001000ED">
            <w:r>
              <w:t xml:space="preserve">KunalKumarLilha_EmployeeLeavePrediction.py</w:t>
            </w:r>
          </w:p>
        </w:tc>
        <w:tc>
          <w:p w14:paraId="001000EE" w14:textId="001000EF">
            <w:r>
              <w:t xml:space="preserve">Complete single-file application: frontend, data pipeline, ML model, analytics</w:t>
            </w:r>
          </w:p>
        </w:tc>
      </w:tr>
      <w:tr>
        <w:trPr/>
        <w:tc>
          <w:p w14:paraId="001000F0" w14:textId="001000F1">
            <w:r>
              <w:t xml:space="preserve">requirements.txt</w:t>
            </w:r>
          </w:p>
        </w:tc>
        <w:tc>
          <w:p w14:paraId="001000F2" w14:textId="001000F3">
            <w:r>
              <w:t xml:space="preserve">Python dependency versions</w:t>
            </w:r>
          </w:p>
        </w:tc>
      </w:tr>
      <w:tr>
        <w:trPr/>
        <w:tc>
          <w:p w14:paraId="001000F4" w14:textId="001000F5">
            <w:r>
              <w:t xml:space="preserve">KunalKumarLilha_EmployeeLeavePrediction_Report.docx</w:t>
            </w:r>
          </w:p>
        </w:tc>
        <w:tc>
          <w:p w14:paraId="001000F6" w14:textId="001000F7">
            <w:r>
              <w:t xml:space="preserve">This submission report with methodology, UI walkthrough, snapshots, and findings</w:t>
            </w:r>
          </w:p>
        </w:tc>
      </w:tr>
      <w:tr>
        <w:trPr/>
        <w:tc>
          <w:p w14:paraId="001000F8" w14:textId="001000F9">
            <w:r>
              <w:t xml:space="preserve">README.md</w:t>
            </w:r>
          </w:p>
        </w:tc>
        <w:tc>
          <w:p w14:paraId="001000FA" w14:textId="001000FB">
            <w:r>
              <w:t xml:space="preserve">Project overview, quick-start instructions, and section reference</w:t>
            </w:r>
          </w:p>
        </w:tc>
      </w:tr>
    </w:tbl>
    <w:sectPr>
      <w:pgSz w:w="12240" w:h="15840"/>
      <w:pgMar w:top="1080" w:right="1080" w:bottom="1080" w:left="108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bering>
</file>

<file path=word/styles.xml><?xml version="1.0" encoding="utf-8"?>
<w:styles xmlns:w="http://schemas.openxmlformats.org/wordprocessingml/2006/main">
  <w:style w:type="paragraph" w:styleId="Normal" w:default="1">
    <w:name w:val="Normal"/>
    <w:rPr>
      <w:sz w:val="22"/>
      <w:font w:ascii="Aptos"/>
    </w:rPr>
  </w:style>
  <w:style w:type="paragraph" w:styleId="title">
    <w:name w:val="Title"/>
    <w:basedOn w:val="Normal"/>
    <w:rPr>
      <w:b/>
      <w:sz w:val="36"/>
    </w:rPr>
  </w:style>
  <w:style w:type="paragraph" w:styleId="subtitle">
    <w:name w:val="Subtitle"/>
    <w:basedOn w:val="Normal"/>
    <w:rPr>
      <w:i/>
      <w:sz w:val="24"/>
    </w:rPr>
  </w:style>
  <w:style w:type="paragraph" w:styleId="heading">
    <w:name w:val="Heading 1"/>
    <w:basedOn w:val="Normal"/>
    <w:rPr>
      <w:b/>
      <w:sz w:val="28"/>
    </w:rPr>
  </w:style>
  <w:style w:type="paragraph" w:styleId="body">
    <w:name w:val="Body Text"/>
    <w:basedOn w:val="Normal"/>
    <w:spacing w:after="160"/>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word/numbering.xml" Id="Ra5a0d7b4515e400a" /></Relationship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2026-09-24T12:36:46Z</vt:lpwstr>
  </op:property>
</op:Properties>
</file>