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Arial" w:cs="Arial" w:eastAsia="Arial" w:hAnsi="Arial"/>
          <w:b/>
          <w:bCs/>
          <w:color w:val="1F7A4D"/>
          <w:spacing w:val="60"/>
          <w:sz w:val="24"/>
          <w:szCs w:val="24"/>
        </w:rPr>
        <w:t xml:space="preserve">LAND STACK</w:t>
      </w:r>
    </w:p>
    <w:p>
      <w:pPr>
        <w:spacing w:after="200"/>
      </w:pPr>
      <w:r>
        <w:rPr>
          <w:rFonts w:ascii="Arial" w:cs="Arial" w:eastAsia="Arial" w:hAnsi="Arial"/>
          <w:b/>
          <w:bCs/>
          <w:sz w:val="46"/>
          <w:szCs w:val="46"/>
        </w:rPr>
        <w:t xml:space="preserve">Report 1: Frontend GIS and Citizen Portal</w:t>
      </w:r>
    </w:p>
    <w:p>
      <w:pPr>
        <w:pBdr>
          <w:bottom w:val="single" w:color="1F7A4D" w:sz="12" w:space="8"/>
        </w:pBdr>
        <w:spacing w:after="600"/>
      </w:pPr>
      <w:r>
        <w:rPr>
          <w:rFonts w:ascii="Arial" w:cs="Arial" w:eastAsia="Arial" w:hAnsi="Arial"/>
          <w:color w:val="66756C"/>
          <w:sz w:val="24"/>
          <w:szCs w:val="24"/>
        </w:rPr>
        <w:t xml:space="preserve">Full-Stack track, Member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6447"/>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Detail</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Project</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Land Stack: Integrated GIS-Based Digital Public Infrastructure for Land Governance</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Team member</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1 (Full-Stack)</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Role</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Frontend GIS and Citizen Portal</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Nature</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Applied Research + Software Development + GIS-Based Prototype</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Current TRL / target</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TRL 2 / TRL 4</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Duration</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18 weeks</w:t>
            </w:r>
          </w:p>
        </w:tc>
      </w:tr>
    </w:tbl>
    <w:p>
      <w:pPr>
        <w:spacing w:after="120"/>
      </w:pPr>
    </w:p>
    <w:p>
      <w:r>
        <w:br w:type="page"/>
      </w:r>
    </w:p>
    <w:p>
      <w:pPr>
        <w:pStyle w:val="Heading1"/>
        <w:spacing w:after="140" w:before="320"/>
      </w:pPr>
      <w:r>
        <w:rPr>
          <w:rFonts w:ascii="Arial" w:cs="Arial" w:eastAsia="Arial" w:hAnsi="Arial"/>
          <w:b/>
          <w:bCs/>
          <w:color w:val="1F7A4D"/>
          <w:sz w:val="30"/>
          <w:szCs w:val="30"/>
        </w:rPr>
        <w:t xml:space="preserve">1. Role Overview</w:t>
      </w:r>
    </w:p>
    <w:p>
      <w:pPr>
        <w:spacing w:after="120" w:line="276"/>
      </w:pPr>
      <w:r>
        <w:rPr>
          <w:rFonts w:ascii="Arial" w:cs="Arial" w:eastAsia="Arial" w:hAnsi="Arial"/>
          <w:sz w:val="21"/>
          <w:szCs w:val="21"/>
        </w:rPr>
        <w:t xml:space="preserve">Member 1 owns everything the citizen sees: the interactive parcel map, the parcel record view, search, and citizen services. The interface must make a fragmented land record look like one simple, trustworthy page keyed by ULPIN, and must work on ordinary phones and low bandwidth.</w:t>
      </w:r>
    </w:p>
    <w:p>
      <w:pPr>
        <w:pStyle w:val="Heading2"/>
        <w:spacing w:after="100" w:before="220"/>
      </w:pPr>
      <w:r>
        <w:rPr>
          <w:rFonts w:ascii="Arial" w:cs="Arial" w:eastAsia="Arial" w:hAnsi="Arial"/>
          <w:b/>
          <w:bCs/>
          <w:color w:val="1B2A22"/>
          <w:sz w:val="24"/>
          <w:szCs w:val="24"/>
        </w:rPr>
        <w:t xml:space="preserve">1.1 Position in the project</w:t>
      </w:r>
    </w:p>
    <w:p>
      <w:pPr>
        <w:shd w:fill="F1F4F2" w:color="auto" w:val="clear"/>
        <w:spacing w:after="0"/>
      </w:pPr>
      <w:r>
        <w:rPr>
          <w:rFonts w:ascii="Courier New" w:cs="Courier New" w:eastAsia="Courier New" w:hAnsi="Courier New"/>
          <w:sz w:val="14"/>
          <w:szCs w:val="14"/>
        </w:rPr>
        <w:t xml:space="preserve">Citizen --&gt; [ Frontend GIS + Citizen Portal ] --&gt; REST APIs (Member 2) + Vector tiles (Member 3)</w:t>
      </w:r>
    </w:p>
    <w:p>
      <w:pPr>
        <w:shd w:fill="F1F4F2" w:color="auto" w:val="clear"/>
        <w:spacing w:after="0"/>
      </w:pPr>
      <w:r>
        <w:rPr>
          <w:rFonts w:ascii="Courier New" w:cs="Courier New" w:eastAsia="Courier New" w:hAnsi="Courier New"/>
          <w:sz w:val="14"/>
          <w:szCs w:val="14"/>
        </w:rPr>
        <w:t xml:space="preserve">                         ^ auth from Member 4, AI alert layer from Member 5</w:t>
      </w:r>
    </w:p>
    <w:p>
      <w:pPr>
        <w:spacing w:after="120" w:line="276"/>
      </w:pPr>
      <w:r>
        <w:rPr>
          <w:rFonts w:ascii="Arial" w:cs="Arial" w:eastAsia="Arial" w:hAnsi="Arial"/>
          <w:sz w:val="21"/>
          <w:szCs w:val="21"/>
        </w:rPr>
        <w:t xml:space="preserve"/>
      </w:r>
    </w:p>
    <w:p>
      <w:pPr>
        <w:pStyle w:val="Heading1"/>
        <w:spacing w:after="140" w:before="320"/>
      </w:pPr>
      <w:r>
        <w:rPr>
          <w:rFonts w:ascii="Arial" w:cs="Arial" w:eastAsia="Arial" w:hAnsi="Arial"/>
          <w:b/>
          <w:bCs/>
          <w:color w:val="1F7A4D"/>
          <w:sz w:val="30"/>
          <w:szCs w:val="30"/>
        </w:rPr>
        <w:t xml:space="preserve">2. Objectives</w:t>
      </w:r>
    </w:p>
    <w:p>
      <w:pPr>
        <w:pStyle w:val="ListParagraph"/>
        <w:numPr>
          <w:ilvl w:val="0"/>
          <w:numId w:val="2"/>
        </w:numPr>
        <w:spacing w:after="60"/>
      </w:pPr>
      <w:r>
        <w:rPr>
          <w:rFonts w:ascii="Arial" w:cs="Arial" w:eastAsia="Arial" w:hAnsi="Arial"/>
          <w:sz w:val="21"/>
          <w:szCs w:val="21"/>
        </w:rPr>
        <w:t xml:space="preserve">Build a responsive web GIS showing parcels and thematic layers (land use, utilities, restrictions, AI alerts).</w:t>
      </w:r>
    </w:p>
    <w:p>
      <w:pPr>
        <w:pStyle w:val="ListParagraph"/>
        <w:numPr>
          <w:ilvl w:val="0"/>
          <w:numId w:val="2"/>
        </w:numPr>
        <w:spacing w:after="60"/>
      </w:pPr>
      <w:r>
        <w:rPr>
          <w:rFonts w:ascii="Arial" w:cs="Arial" w:eastAsia="Arial" w:hAnsi="Arial"/>
          <w:sz w:val="21"/>
          <w:szCs w:val="21"/>
        </w:rPr>
        <w:t xml:space="preserve">Show a unified parcel record when a parcel is selected.</w:t>
      </w:r>
    </w:p>
    <w:p>
      <w:pPr>
        <w:pStyle w:val="ListParagraph"/>
        <w:numPr>
          <w:ilvl w:val="0"/>
          <w:numId w:val="2"/>
        </w:numPr>
        <w:spacing w:after="60"/>
      </w:pPr>
      <w:r>
        <w:rPr>
          <w:rFonts w:ascii="Arial" w:cs="Arial" w:eastAsia="Arial" w:hAnsi="Arial"/>
          <w:sz w:val="21"/>
          <w:szCs w:val="21"/>
        </w:rPr>
        <w:t xml:space="preserve">Provide fast search by ULPIN, owner name and survey number.</w:t>
      </w:r>
    </w:p>
    <w:p>
      <w:pPr>
        <w:pStyle w:val="ListParagraph"/>
        <w:numPr>
          <w:ilvl w:val="0"/>
          <w:numId w:val="2"/>
        </w:numPr>
        <w:spacing w:after="60"/>
      </w:pPr>
      <w:r>
        <w:rPr>
          <w:rFonts w:ascii="Arial" w:cs="Arial" w:eastAsia="Arial" w:hAnsi="Arial"/>
          <w:sz w:val="21"/>
          <w:szCs w:val="21"/>
        </w:rPr>
        <w:t xml:space="preserve">Deliver citizen services: ownership verification, tax status, permission status, transaction tracking, service requests and document access.</w:t>
      </w:r>
    </w:p>
    <w:p>
      <w:pPr>
        <w:pStyle w:val="ListParagraph"/>
        <w:numPr>
          <w:ilvl w:val="0"/>
          <w:numId w:val="2"/>
        </w:numPr>
        <w:spacing w:after="60"/>
      </w:pPr>
      <w:r>
        <w:rPr>
          <w:rFonts w:ascii="Arial" w:cs="Arial" w:eastAsia="Arial" w:hAnsi="Arial"/>
          <w:sz w:val="21"/>
          <w:szCs w:val="21"/>
        </w:rPr>
        <w:t xml:space="preserve">Meet basic accessibility and English/Hindi language readiness.</w:t>
      </w:r>
    </w:p>
    <w:p>
      <w:pPr>
        <w:pStyle w:val="Heading1"/>
        <w:spacing w:after="140" w:before="320"/>
      </w:pPr>
      <w:r>
        <w:rPr>
          <w:rFonts w:ascii="Arial" w:cs="Arial" w:eastAsia="Arial" w:hAnsi="Arial"/>
          <w:b/>
          <w:bCs/>
          <w:color w:val="1F7A4D"/>
          <w:sz w:val="30"/>
          <w:szCs w:val="30"/>
        </w:rPr>
        <w:t xml:space="preserve">3. Scope</w:t>
      </w:r>
    </w:p>
    <w:p>
      <w:pPr>
        <w:pStyle w:val="Heading2"/>
        <w:spacing w:after="100" w:before="220"/>
      </w:pPr>
      <w:r>
        <w:rPr>
          <w:rFonts w:ascii="Arial" w:cs="Arial" w:eastAsia="Arial" w:hAnsi="Arial"/>
          <w:b/>
          <w:bCs/>
          <w:color w:val="1B2A22"/>
          <w:sz w:val="24"/>
          <w:szCs w:val="24"/>
        </w:rPr>
        <w:t xml:space="preserve">3.1 In scope</w:t>
      </w:r>
    </w:p>
    <w:p>
      <w:pPr>
        <w:pStyle w:val="ListParagraph"/>
        <w:numPr>
          <w:ilvl w:val="0"/>
          <w:numId w:val="2"/>
        </w:numPr>
        <w:spacing w:after="60"/>
      </w:pPr>
      <w:r>
        <w:rPr>
          <w:rFonts w:ascii="Arial" w:cs="Arial" w:eastAsia="Arial" w:hAnsi="Arial"/>
          <w:sz w:val="21"/>
          <w:szCs w:val="21"/>
        </w:rPr>
        <w:t xml:space="preserve">Map viewer, layer control, legend, parcel selection</w:t>
      </w:r>
    </w:p>
    <w:p>
      <w:pPr>
        <w:pStyle w:val="ListParagraph"/>
        <w:numPr>
          <w:ilvl w:val="0"/>
          <w:numId w:val="2"/>
        </w:numPr>
        <w:spacing w:after="60"/>
      </w:pPr>
      <w:r>
        <w:rPr>
          <w:rFonts w:ascii="Arial" w:cs="Arial" w:eastAsia="Arial" w:hAnsi="Arial"/>
          <w:sz w:val="21"/>
          <w:szCs w:val="21"/>
        </w:rPr>
        <w:t xml:space="preserve">Parcel detail panel with tabs</w:t>
      </w:r>
    </w:p>
    <w:p>
      <w:pPr>
        <w:pStyle w:val="ListParagraph"/>
        <w:numPr>
          <w:ilvl w:val="0"/>
          <w:numId w:val="2"/>
        </w:numPr>
        <w:spacing w:after="60"/>
      </w:pPr>
      <w:r>
        <w:rPr>
          <w:rFonts w:ascii="Arial" w:cs="Arial" w:eastAsia="Arial" w:hAnsi="Arial"/>
          <w:sz w:val="21"/>
          <w:szCs w:val="21"/>
        </w:rPr>
        <w:t xml:space="preserve">Search and results</w:t>
      </w:r>
    </w:p>
    <w:p>
      <w:pPr>
        <w:pStyle w:val="ListParagraph"/>
        <w:numPr>
          <w:ilvl w:val="0"/>
          <w:numId w:val="2"/>
        </w:numPr>
        <w:spacing w:after="60"/>
      </w:pPr>
      <w:r>
        <w:rPr>
          <w:rFonts w:ascii="Arial" w:cs="Arial" w:eastAsia="Arial" w:hAnsi="Arial"/>
          <w:sz w:val="21"/>
          <w:szCs w:val="21"/>
        </w:rPr>
        <w:t xml:space="preserve">Citizen service screens and forms</w:t>
      </w:r>
    </w:p>
    <w:p>
      <w:pPr>
        <w:pStyle w:val="ListParagraph"/>
        <w:numPr>
          <w:ilvl w:val="0"/>
          <w:numId w:val="2"/>
        </w:numPr>
        <w:spacing w:after="60"/>
      </w:pPr>
      <w:r>
        <w:rPr>
          <w:rFonts w:ascii="Arial" w:cs="Arial" w:eastAsia="Arial" w:hAnsi="Arial"/>
          <w:sz w:val="21"/>
          <w:szCs w:val="21"/>
        </w:rPr>
        <w:t xml:space="preserve">UI/UX guidelines and component library</w:t>
      </w:r>
    </w:p>
    <w:p>
      <w:pPr>
        <w:pStyle w:val="ListParagraph"/>
        <w:numPr>
          <w:ilvl w:val="0"/>
          <w:numId w:val="2"/>
        </w:numPr>
        <w:spacing w:after="60"/>
      </w:pPr>
      <w:r>
        <w:rPr>
          <w:rFonts w:ascii="Arial" w:cs="Arial" w:eastAsia="Arial" w:hAnsi="Arial"/>
          <w:sz w:val="21"/>
          <w:szCs w:val="21"/>
        </w:rPr>
        <w:t xml:space="preserve">Frontend tests</w:t>
      </w:r>
    </w:p>
    <w:p>
      <w:pPr>
        <w:pStyle w:val="Heading2"/>
        <w:spacing w:after="100" w:before="220"/>
      </w:pPr>
      <w:r>
        <w:rPr>
          <w:rFonts w:ascii="Arial" w:cs="Arial" w:eastAsia="Arial" w:hAnsi="Arial"/>
          <w:b/>
          <w:bCs/>
          <w:color w:val="1B2A22"/>
          <w:sz w:val="24"/>
          <w:szCs w:val="24"/>
        </w:rPr>
        <w:t xml:space="preserve">3.2 Out of scope</w:t>
      </w:r>
    </w:p>
    <w:p>
      <w:pPr>
        <w:pStyle w:val="ListParagraph"/>
        <w:numPr>
          <w:ilvl w:val="0"/>
          <w:numId w:val="2"/>
        </w:numPr>
        <w:spacing w:after="60"/>
      </w:pPr>
      <w:r>
        <w:rPr>
          <w:rFonts w:ascii="Arial" w:cs="Arial" w:eastAsia="Arial" w:hAnsi="Arial"/>
          <w:sz w:val="21"/>
          <w:szCs w:val="21"/>
        </w:rPr>
        <w:t xml:space="preserve">Officer dashboards and workflows (Member 4)</w:t>
      </w:r>
    </w:p>
    <w:p>
      <w:pPr>
        <w:pStyle w:val="ListParagraph"/>
        <w:numPr>
          <w:ilvl w:val="0"/>
          <w:numId w:val="2"/>
        </w:numPr>
        <w:spacing w:after="60"/>
      </w:pPr>
      <w:r>
        <w:rPr>
          <w:rFonts w:ascii="Arial" w:cs="Arial" w:eastAsia="Arial" w:hAnsi="Arial"/>
          <w:sz w:val="21"/>
          <w:szCs w:val="21"/>
        </w:rPr>
        <w:t xml:space="preserve">Business logic and departmental APIs (Member 2)</w:t>
      </w:r>
    </w:p>
    <w:p>
      <w:pPr>
        <w:pStyle w:val="ListParagraph"/>
        <w:numPr>
          <w:ilvl w:val="0"/>
          <w:numId w:val="2"/>
        </w:numPr>
        <w:spacing w:after="60"/>
      </w:pPr>
      <w:r>
        <w:rPr>
          <w:rFonts w:ascii="Arial" w:cs="Arial" w:eastAsia="Arial" w:hAnsi="Arial"/>
          <w:sz w:val="21"/>
          <w:szCs w:val="21"/>
        </w:rPr>
        <w:t xml:space="preserve">Database and tile generation (Member 3)</w:t>
      </w:r>
    </w:p>
    <w:p>
      <w:pPr>
        <w:pStyle w:val="Heading1"/>
        <w:spacing w:after="140" w:before="320"/>
      </w:pPr>
      <w:r>
        <w:rPr>
          <w:rFonts w:ascii="Arial" w:cs="Arial" w:eastAsia="Arial" w:hAnsi="Arial"/>
          <w:b/>
          <w:bCs/>
          <w:color w:val="1F7A4D"/>
          <w:sz w:val="30"/>
          <w:szCs w:val="30"/>
        </w:rPr>
        <w:t xml:space="preserve">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Area</w:t>
            </w:r>
          </w:p>
        </w:tc>
        <w:tc>
          <w:tcPr>
            <w:tcW w:type="dxa" w:w="3009"/>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Tools / Technology</w:t>
            </w:r>
          </w:p>
        </w:tc>
        <w:tc>
          <w:tcPr>
            <w:tcW w:type="dxa" w:w="4011"/>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Framework</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React + TypeScript, Vite</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Component-based SPA</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Mapping</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MapLibre GL JS</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Vector-tile rendering of parcels</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State/data</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TanStack Query</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API caching and loading states</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Styling</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Tailwind CSS or CSS variables</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Responsive, light/dark themes</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i18n</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i18next</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English and Hindi</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Testing</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Vitest, Playwright</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Unit and end-to-end tests</w:t>
            </w:r>
          </w:p>
        </w:tc>
      </w:tr>
    </w:tbl>
    <w:p>
      <w:pPr>
        <w:spacing w:after="120"/>
      </w:pPr>
    </w:p>
    <w:p>
      <w:pPr>
        <w:pStyle w:val="Heading1"/>
        <w:spacing w:after="140" w:before="320"/>
      </w:pPr>
      <w:r>
        <w:rPr>
          <w:rFonts w:ascii="Arial" w:cs="Arial" w:eastAsia="Arial" w:hAnsi="Arial"/>
          <w:b/>
          <w:bCs/>
          <w:color w:val="1F7A4D"/>
          <w:sz w:val="30"/>
          <w:szCs w:val="30"/>
        </w:rPr>
        <w:t xml:space="preserve">5. Modules and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513"/>
        <w:gridCol w:w="2708"/>
      </w:tblGrid>
      <w:tr>
        <w:trPr>
          <w:tblHeader/>
        </w:trPr>
        <w:tc>
          <w:tcPr>
            <w:tcW w:type="dxa" w:w="1805"/>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Module</w:t>
            </w:r>
          </w:p>
        </w:tc>
        <w:tc>
          <w:tcPr>
            <w:tcW w:type="dxa" w:w="4513"/>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c>
          <w:tcPr>
            <w:tcW w:type="dxa" w:w="2708"/>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Output</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Map viewer</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Pan/zoom, parcel polygons coloured by land use, click to select, highlight, scale bar</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Interactive map component</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Layer manager</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Toggle land use, utilities, restrictions, AI alerts, road layer</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Layer panel and legend</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Parcel record view</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Tabs: overview, registration, tax, encumbrance, permits</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Parcel detail component</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Search</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ULPIN, owner and survey-number search with suggestions</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Search bar and results list</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Citizen services</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Ownership check, tax status, permission status, service request, document download</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Service screens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Design system</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Colours, typography, components, accessibility rules</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UI/UX guideline document</w:t>
            </w:r>
          </w:p>
        </w:tc>
      </w:tr>
    </w:tbl>
    <w:p>
      <w:pPr>
        <w:spacing w:after="120"/>
      </w:pPr>
    </w:p>
    <w:p>
      <w:pPr>
        <w:pStyle w:val="Heading1"/>
        <w:spacing w:after="140" w:before="320"/>
      </w:pPr>
      <w:r>
        <w:rPr>
          <w:rFonts w:ascii="Arial" w:cs="Arial" w:eastAsia="Arial" w:hAnsi="Arial"/>
          <w:b/>
          <w:bCs/>
          <w:color w:val="1F7A4D"/>
          <w:sz w:val="30"/>
          <w:szCs w:val="30"/>
        </w:rPr>
        <w:t xml:space="preserve">6. Datasets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Dataset</w:t>
            </w:r>
          </w:p>
        </w:tc>
        <w:tc>
          <w:tcPr>
            <w:tcW w:type="dxa" w:w="6017"/>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How it is used in this role</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Parcel vector tiles (from Maharashtra Bhu-Naksha data)</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Displayed as the main map layer</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Road layer (PMGSY GeoSadak)</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Context layer on the map</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Administrative boundaries (data.gov.in)</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Zoom-to-district/village navigation</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Synthetic departmental records</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Shown in the parcel detail tabs via APIs</w:t>
            </w:r>
          </w:p>
        </w:tc>
      </w:tr>
    </w:tbl>
    <w:p>
      <w:pPr>
        <w:spacing w:after="120"/>
      </w:pPr>
    </w:p>
    <w:p>
      <w:pPr>
        <w:pStyle w:val="Heading1"/>
        <w:spacing w:after="140" w:before="320"/>
      </w:pPr>
      <w:r>
        <w:rPr>
          <w:rFonts w:ascii="Arial" w:cs="Arial" w:eastAsia="Arial" w:hAnsi="Arial"/>
          <w:b/>
          <w:bCs/>
          <w:color w:val="1F7A4D"/>
          <w:sz w:val="30"/>
          <w:szCs w:val="30"/>
        </w:rPr>
        <w:t xml:space="preserve">7. Interfaces with Other Team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With</w:t>
            </w:r>
          </w:p>
        </w:tc>
        <w:tc>
          <w:tcPr>
            <w:tcW w:type="dxa" w:w="3610"/>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This role provides</w:t>
            </w:r>
          </w:p>
        </w:tc>
        <w:tc>
          <w:tcPr>
            <w:tcW w:type="dxa" w:w="3611"/>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This role needs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2 (Backend)</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API requirements, error states, sample UI needs</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REST endpoints and OpenAPI spec</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3 (Database)</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Attribute and style requirements for tiles</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Vector tile endpoint, parcel attributes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4 (Security/Officer)</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Shared components and login screens</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Auth tokens, role information</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5 (AI/ML)</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Alert layer display design</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Alert GeoJSON with confidence scores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6 (Cloud)</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Static build for hosting</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CDN/hosting and environment configuration</w:t>
            </w:r>
          </w:p>
        </w:tc>
      </w:tr>
    </w:tbl>
    <w:p>
      <w:pPr>
        <w:spacing w:after="120"/>
      </w:pPr>
    </w:p>
    <w:p>
      <w:pPr>
        <w:pStyle w:val="Heading1"/>
        <w:spacing w:after="140" w:before="320"/>
      </w:pPr>
      <w:r>
        <w:rPr>
          <w:rFonts w:ascii="Arial" w:cs="Arial" w:eastAsia="Arial" w:hAnsi="Arial"/>
          <w:b/>
          <w:bCs/>
          <w:color w:val="1F7A4D"/>
          <w:sz w:val="30"/>
          <w:szCs w:val="30"/>
        </w:rPr>
        <w:t xml:space="preserve">8. Work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903"/>
        <w:gridCol w:w="6318"/>
      </w:tblGrid>
      <w:tr>
        <w:trPr>
          <w:tblHeader/>
        </w:trPr>
        <w:tc>
          <w:tcPr>
            <w:tcW w:type="dxa" w:w="1805"/>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Phase</w:t>
            </w:r>
          </w:p>
        </w:tc>
        <w:tc>
          <w:tcPr>
            <w:tcW w:type="dxa" w:w="903"/>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Weeks</w:t>
            </w:r>
          </w:p>
        </w:tc>
        <w:tc>
          <w:tcPr>
            <w:tcW w:type="dxa" w:w="6318"/>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Tasks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Design</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4-6</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Wireframes, design tokens, component list, map style</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Build map</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7-9</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Map viewer, layers, parcel selection</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Build portal</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9-12</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Parcel record, search, citizen services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Integrate</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13-15</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Connect to real APIs, auth, AI alert layer</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Test and polish</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15-17</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Accessibility, performance, end-to-end tests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Document</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17-18</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UI/UX guide, user manual, demo script</w:t>
            </w:r>
          </w:p>
        </w:tc>
      </w:tr>
    </w:tbl>
    <w:p>
      <w:pPr>
        <w:spacing w:after="120"/>
      </w:pPr>
    </w:p>
    <w:p>
      <w:pPr>
        <w:pStyle w:val="Heading1"/>
        <w:spacing w:after="140" w:before="320"/>
      </w:pPr>
      <w:r>
        <w:rPr>
          <w:rFonts w:ascii="Arial" w:cs="Arial" w:eastAsia="Arial" w:hAnsi="Arial"/>
          <w:b/>
          <w:bCs/>
          <w:color w:val="1F7A4D"/>
          <w:sz w:val="30"/>
          <w:szCs w:val="30"/>
        </w:rPr>
        <w:t xml:space="preserve">9. Acceptance Criteria</w:t>
      </w:r>
    </w:p>
    <w:p>
      <w:pPr>
        <w:pStyle w:val="ListParagraph"/>
        <w:numPr>
          <w:ilvl w:val="0"/>
          <w:numId w:val="2"/>
        </w:numPr>
        <w:spacing w:after="60"/>
      </w:pPr>
      <w:r>
        <w:rPr>
          <w:rFonts w:ascii="Arial" w:cs="Arial" w:eastAsia="Arial" w:hAnsi="Arial"/>
          <w:sz w:val="21"/>
          <w:szCs w:val="21"/>
        </w:rPr>
        <w:t xml:space="preserve">Selecting a parcel shows its full record in under 1 second on a normal connection.</w:t>
      </w:r>
    </w:p>
    <w:p>
      <w:pPr>
        <w:pStyle w:val="ListParagraph"/>
        <w:numPr>
          <w:ilvl w:val="0"/>
          <w:numId w:val="2"/>
        </w:numPr>
        <w:spacing w:after="60"/>
      </w:pPr>
      <w:r>
        <w:rPr>
          <w:rFonts w:ascii="Arial" w:cs="Arial" w:eastAsia="Arial" w:hAnsi="Arial"/>
          <w:sz w:val="21"/>
          <w:szCs w:val="21"/>
        </w:rPr>
        <w:t xml:space="preserve">All listed citizen services are reachable from the UI.</w:t>
      </w:r>
    </w:p>
    <w:p>
      <w:pPr>
        <w:pStyle w:val="ListParagraph"/>
        <w:numPr>
          <w:ilvl w:val="0"/>
          <w:numId w:val="2"/>
        </w:numPr>
        <w:spacing w:after="60"/>
      </w:pPr>
      <w:r>
        <w:rPr>
          <w:rFonts w:ascii="Arial" w:cs="Arial" w:eastAsia="Arial" w:hAnsi="Arial"/>
          <w:sz w:val="21"/>
          <w:szCs w:val="21"/>
        </w:rPr>
        <w:t xml:space="preserve">The UI works at phone widths and in light and dark themes.</w:t>
      </w:r>
    </w:p>
    <w:p>
      <w:pPr>
        <w:pStyle w:val="ListParagraph"/>
        <w:numPr>
          <w:ilvl w:val="0"/>
          <w:numId w:val="2"/>
        </w:numPr>
        <w:spacing w:after="60"/>
      </w:pPr>
      <w:r>
        <w:rPr>
          <w:rFonts w:ascii="Arial" w:cs="Arial" w:eastAsia="Arial" w:hAnsi="Arial"/>
          <w:sz w:val="21"/>
          <w:szCs w:val="21"/>
        </w:rPr>
        <w:t xml:space="preserve">Keyboard navigation and colour contrast meet basic accessibility checks.</w:t>
      </w:r>
    </w:p>
    <w:p>
      <w:pPr>
        <w:pStyle w:val="ListParagraph"/>
        <w:numPr>
          <w:ilvl w:val="0"/>
          <w:numId w:val="2"/>
        </w:numPr>
        <w:spacing w:after="60"/>
      </w:pPr>
      <w:r>
        <w:rPr>
          <w:rFonts w:ascii="Arial" w:cs="Arial" w:eastAsia="Arial" w:hAnsi="Arial"/>
          <w:sz w:val="21"/>
          <w:szCs w:val="21"/>
        </w:rPr>
        <w:t xml:space="preserve">End-to-end tests cover search, select, and view flows.</w:t>
      </w:r>
    </w:p>
    <w:p>
      <w:pPr>
        <w:pStyle w:val="Heading1"/>
        <w:spacing w:after="140" w:before="320"/>
      </w:pPr>
      <w:r>
        <w:rPr>
          <w:rFonts w:ascii="Arial" w:cs="Arial" w:eastAsia="Arial" w:hAnsi="Arial"/>
          <w:b/>
          <w:bCs/>
          <w:color w:val="1F7A4D"/>
          <w:sz w:val="30"/>
          <w:szCs w:val="30"/>
        </w:rPr>
        <w:t xml:space="preserve">10.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2"/>
        <w:gridCol w:w="5014"/>
      </w:tblGrid>
      <w:tr>
        <w:trPr>
          <w:tblHeader/>
        </w:trPr>
        <w:tc>
          <w:tcPr>
            <w:tcW w:type="dxa" w:w="4012"/>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Risk</w:t>
            </w:r>
          </w:p>
        </w:tc>
        <w:tc>
          <w:tcPr>
            <w:tcW w:type="dxa" w:w="5014"/>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Mitigation</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Large parcel counts slow the map</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Use vector tiles, zoom-dependent detail and server-side filtering</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API not ready when UI needs it</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Use mock responses from the agreed OpenAPI spec</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Inconsistent look across modules</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Shared design system used by Members 1 and 4</w:t>
            </w:r>
          </w:p>
        </w:tc>
      </w:tr>
    </w:tbl>
    <w:p>
      <w:pPr>
        <w:spacing w:after="120"/>
      </w:pPr>
    </w:p>
    <w:p>
      <w:pPr>
        <w:pStyle w:val="Heading1"/>
        <w:spacing w:after="140" w:before="320"/>
      </w:pPr>
      <w:r>
        <w:rPr>
          <w:rFonts w:ascii="Arial" w:cs="Arial" w:eastAsia="Arial" w:hAnsi="Arial"/>
          <w:b/>
          <w:bCs/>
          <w:color w:val="1F7A4D"/>
          <w:sz w:val="30"/>
          <w:szCs w:val="30"/>
        </w:rPr>
        <w:t xml:space="preserve">11. Contribution to Project Goals</w:t>
      </w:r>
    </w:p>
    <w:p>
      <w:pPr>
        <w:spacing w:after="120" w:line="276"/>
      </w:pPr>
      <w:r>
        <w:rPr>
          <w:rFonts w:ascii="Arial" w:cs="Arial" w:eastAsia="Arial" w:hAnsi="Arial"/>
          <w:sz w:val="21"/>
          <w:szCs w:val="21"/>
        </w:rPr>
        <w:t xml:space="preserve">The frontend delivers the citizen-centric side of the project. It directly supports SDG 16.10 (public access to information) by making parcel, tax and permission information reachable without visiting several offices, and SDG 9.c by working on ordinary devices.</w:t>
      </w:r>
    </w:p>
    <w:p>
      <w:pPr>
        <w:pStyle w:val="Heading1"/>
        <w:spacing w:after="140" w:before="320"/>
      </w:pPr>
      <w:r>
        <w:rPr>
          <w:rFonts w:ascii="Arial" w:cs="Arial" w:eastAsia="Arial" w:hAnsi="Arial"/>
          <w:b/>
          <w:bCs/>
          <w:color w:val="1F7A4D"/>
          <w:sz w:val="30"/>
          <w:szCs w:val="30"/>
        </w:rPr>
        <w:t xml:space="preserve">12. Skills and Learning Outcomes</w:t>
      </w:r>
    </w:p>
    <w:p>
      <w:pPr>
        <w:pStyle w:val="ListParagraph"/>
        <w:numPr>
          <w:ilvl w:val="0"/>
          <w:numId w:val="2"/>
        </w:numPr>
        <w:spacing w:after="60"/>
      </w:pPr>
      <w:r>
        <w:rPr>
          <w:rFonts w:ascii="Arial" w:cs="Arial" w:eastAsia="Arial" w:hAnsi="Arial"/>
          <w:sz w:val="21"/>
          <w:szCs w:val="21"/>
        </w:rPr>
        <w:t xml:space="preserve">Web GIS and vector-tile rendering</w:t>
      </w:r>
    </w:p>
    <w:p>
      <w:pPr>
        <w:pStyle w:val="ListParagraph"/>
        <w:numPr>
          <w:ilvl w:val="0"/>
          <w:numId w:val="2"/>
        </w:numPr>
        <w:spacing w:after="60"/>
      </w:pPr>
      <w:r>
        <w:rPr>
          <w:rFonts w:ascii="Arial" w:cs="Arial" w:eastAsia="Arial" w:hAnsi="Arial"/>
          <w:sz w:val="21"/>
          <w:szCs w:val="21"/>
        </w:rPr>
        <w:t xml:space="preserve">React and TypeScript</w:t>
      </w:r>
    </w:p>
    <w:p>
      <w:pPr>
        <w:pStyle w:val="ListParagraph"/>
        <w:numPr>
          <w:ilvl w:val="0"/>
          <w:numId w:val="2"/>
        </w:numPr>
        <w:spacing w:after="60"/>
      </w:pPr>
      <w:r>
        <w:rPr>
          <w:rFonts w:ascii="Arial" w:cs="Arial" w:eastAsia="Arial" w:hAnsi="Arial"/>
          <w:sz w:val="21"/>
          <w:szCs w:val="21"/>
        </w:rPr>
        <w:t xml:space="preserve">UX for public-service portals</w:t>
      </w:r>
    </w:p>
    <w:p>
      <w:pPr>
        <w:pStyle w:val="ListParagraph"/>
        <w:numPr>
          <w:ilvl w:val="0"/>
          <w:numId w:val="2"/>
        </w:numPr>
        <w:spacing w:after="60"/>
      </w:pPr>
      <w:r>
        <w:rPr>
          <w:rFonts w:ascii="Arial" w:cs="Arial" w:eastAsia="Arial" w:hAnsi="Arial"/>
          <w:sz w:val="21"/>
          <w:szCs w:val="21"/>
        </w:rPr>
        <w:t xml:space="preserve">Accessibility and localisation</w:t>
      </w:r>
    </w:p>
    <w:p>
      <w:pPr>
        <w:pStyle w:val="Heading1"/>
        <w:spacing w:after="140" w:before="320"/>
      </w:pPr>
      <w:r>
        <w:rPr>
          <w:rFonts w:ascii="Arial" w:cs="Arial" w:eastAsia="Arial" w:hAnsi="Arial"/>
          <w:b/>
          <w:bCs/>
          <w:color w:val="1F7A4D"/>
          <w:sz w:val="30"/>
          <w:szCs w:val="30"/>
        </w:rPr>
        <w:t xml:space="preserve">References</w:t>
      </w:r>
    </w:p>
    <w:p>
      <w:pPr>
        <w:pStyle w:val="ListParagraph"/>
        <w:numPr>
          <w:ilvl w:val="0"/>
          <w:numId w:val="2"/>
        </w:numPr>
        <w:spacing w:after="60"/>
      </w:pPr>
      <w:r>
        <w:rPr>
          <w:rFonts w:ascii="Arial" w:cs="Arial" w:eastAsia="Arial" w:hAnsi="Arial"/>
          <w:sz w:val="21"/>
          <w:szCs w:val="21"/>
        </w:rPr>
        <w:t xml:space="preserve">PIB (May 2026), Land Stack Initiative to Usher in Transparent and Citizen-Centric Land Management. https://www.pib.gov.in/PressReleasePage.aspx?PRID=2259050</w:t>
      </w:r>
    </w:p>
    <w:p>
      <w:pPr>
        <w:pStyle w:val="ListParagraph"/>
        <w:numPr>
          <w:ilvl w:val="0"/>
          <w:numId w:val="2"/>
        </w:numPr>
        <w:spacing w:after="60"/>
      </w:pPr>
      <w:r>
        <w:rPr>
          <w:rFonts w:ascii="Arial" w:cs="Arial" w:eastAsia="Arial" w:hAnsi="Arial"/>
          <w:sz w:val="21"/>
          <w:szCs w:val="21"/>
        </w:rPr>
        <w:t xml:space="preserve">PIB (Dec 2025), National Symposium on Naksha and LandStack. https://www.pib.gov.in/PressReleasePage.aspx?PRID=2197439</w:t>
      </w:r>
    </w:p>
    <w:p>
      <w:pPr>
        <w:pStyle w:val="ListParagraph"/>
        <w:numPr>
          <w:ilvl w:val="0"/>
          <w:numId w:val="2"/>
        </w:numPr>
        <w:spacing w:after="60"/>
      </w:pPr>
      <w:r>
        <w:rPr>
          <w:rFonts w:ascii="Arial" w:cs="Arial" w:eastAsia="Arial" w:hAnsi="Arial"/>
          <w:sz w:val="21"/>
          <w:szCs w:val="21"/>
        </w:rPr>
        <w:t xml:space="preserve">PIB (Sept 2026), Operational Guidelines for DILRMP 3.0. https://www.pib.gov.in/PressReleaseIframePage.aspx?PRID=2308504</w:t>
      </w:r>
    </w:p>
    <w:p>
      <w:pPr>
        <w:pStyle w:val="ListParagraph"/>
        <w:numPr>
          <w:ilvl w:val="0"/>
          <w:numId w:val="2"/>
        </w:numPr>
        <w:spacing w:after="60"/>
      </w:pPr>
      <w:r>
        <w:rPr>
          <w:rFonts w:ascii="Arial" w:cs="Arial" w:eastAsia="Arial" w:hAnsi="Arial"/>
          <w:sz w:val="21"/>
          <w:szCs w:val="21"/>
        </w:rPr>
        <w:t xml:space="preserve">PIB (May 2026), Land Stack as next layer of Digital Public Infrastructure. https://www.pib.gov.in/PressReleasePage.aspx?PRID=2263740</w:t>
      </w:r>
    </w:p>
    <w:p>
      <w:pPr>
        <w:pStyle w:val="ListParagraph"/>
        <w:numPr>
          <w:ilvl w:val="0"/>
          <w:numId w:val="2"/>
        </w:numPr>
        <w:spacing w:after="60"/>
      </w:pPr>
      <w:r>
        <w:rPr>
          <w:rFonts w:ascii="Arial" w:cs="Arial" w:eastAsia="Arial" w:hAnsi="Arial"/>
          <w:sz w:val="21"/>
          <w:szCs w:val="21"/>
        </w:rPr>
        <w:t xml:space="preserve">PIB (Aug 2026), Bharat Land Stack and Bhu-Aadhaar. https://www.pib.gov.in/PressReleasePage.aspx?PRID=2303882</w:t>
      </w:r>
    </w:p>
    <w:p>
      <w:pPr>
        <w:pStyle w:val="ListParagraph"/>
        <w:numPr>
          <w:ilvl w:val="0"/>
          <w:numId w:val="2"/>
        </w:numPr>
        <w:spacing w:after="60"/>
      </w:pPr>
      <w:r>
        <w:rPr>
          <w:rFonts w:ascii="Arial" w:cs="Arial" w:eastAsia="Arial" w:hAnsi="Arial"/>
          <w:sz w:val="21"/>
          <w:szCs w:val="21"/>
        </w:rPr>
        <w:t xml:space="preserve">DoLR, DILRMP / ULPIN page. https://dolr.gov.in/en/department-of-land-resources-govt-of-india-is-implementing-digital-india-land-records-modernization-program-through-state-ut-governments/</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756C"/>
        <w:sz w:val="16"/>
        <w:szCs w:val="16"/>
      </w:rPr>
      <w:t xml:space="preserve">Page </w:t>
    </w:r>
    <w:r>
      <w:rPr>
        <w:rFonts w:ascii="Arial" w:cs="Arial" w:eastAsia="Arial" w:hAnsi="Arial"/>
        <w:color w:val="6675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756C"/>
        <w:sz w:val="16"/>
        <w:szCs w:val="16"/>
      </w:rPr>
      <w:t xml:space="preserve">Land Stack | Report 1: Frontend GIS and Citizen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2026-09-29T07:30:30.868Z</dcterms:created>
  <dcterms:modified xsi:type="dcterms:W3CDTF">2026-09-29T07:30:30.868Z</dcterms:modified>
</cp:coreProperties>
</file>

<file path=docProps/custom.xml><?xml version="1.0" encoding="utf-8"?>
<Properties xmlns="http://schemas.openxmlformats.org/officeDocument/2006/custom-properties" xmlns:vt="http://schemas.openxmlformats.org/officeDocument/2006/docPropsVTypes"/>
</file>