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Arial" w:cs="Arial" w:eastAsia="Arial" w:hAnsi="Arial"/>
          <w:b/>
          <w:bCs/>
          <w:color w:val="1F7A4D"/>
          <w:spacing w:val="60"/>
          <w:sz w:val="24"/>
          <w:szCs w:val="24"/>
        </w:rPr>
        <w:t xml:space="preserve">LAND STACK</w:t>
      </w:r>
    </w:p>
    <w:p>
      <w:pPr>
        <w:spacing w:after="200"/>
      </w:pPr>
      <w:r>
        <w:rPr>
          <w:rFonts w:ascii="Arial" w:cs="Arial" w:eastAsia="Arial" w:hAnsi="Arial"/>
          <w:b/>
          <w:bCs/>
          <w:sz w:val="46"/>
          <w:szCs w:val="46"/>
        </w:rPr>
        <w:t xml:space="preserve">Report 2: Backend API and Integration Layer</w:t>
      </w:r>
    </w:p>
    <w:p>
      <w:pPr>
        <w:pBdr>
          <w:bottom w:val="single" w:color="1F7A4D" w:sz="12" w:space="8"/>
        </w:pBdr>
        <w:spacing w:after="600"/>
      </w:pPr>
      <w:r>
        <w:rPr>
          <w:rFonts w:ascii="Arial" w:cs="Arial" w:eastAsia="Arial" w:hAnsi="Arial"/>
          <w:color w:val="66756C"/>
          <w:sz w:val="24"/>
          <w:szCs w:val="24"/>
        </w:rPr>
        <w:t xml:space="preserve">Full-Stack track, Member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6447"/>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Detail</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Project</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Land Stack: Integrated GIS-Based Digital Public Infrastructure for Land Governance</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Team member</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2 (Full-Stack)</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Role</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Backend API and Integration Layer</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Nature</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Applied Research + Software Development + GIS-Based Prototype</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Current TRL / target</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TRL 2 / TRL 4</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Duration</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18 weeks</w:t>
            </w:r>
          </w:p>
        </w:tc>
      </w:tr>
    </w:tbl>
    <w:p>
      <w:pPr>
        <w:spacing w:after="120"/>
      </w:pPr>
    </w:p>
    <w:p>
      <w:r>
        <w:br w:type="page"/>
      </w:r>
    </w:p>
    <w:p>
      <w:pPr>
        <w:pStyle w:val="Heading1"/>
        <w:spacing w:after="140" w:before="320"/>
      </w:pPr>
      <w:r>
        <w:rPr>
          <w:rFonts w:ascii="Arial" w:cs="Arial" w:eastAsia="Arial" w:hAnsi="Arial"/>
          <w:b/>
          <w:bCs/>
          <w:color w:val="1F7A4D"/>
          <w:sz w:val="30"/>
          <w:szCs w:val="30"/>
        </w:rPr>
        <w:t xml:space="preserve">1. Role Overview</w:t>
      </w:r>
    </w:p>
    <w:p>
      <w:pPr>
        <w:spacing w:after="120" w:line="276"/>
      </w:pPr>
      <w:r>
        <w:rPr>
          <w:rFonts w:ascii="Arial" w:cs="Arial" w:eastAsia="Arial" w:hAnsi="Arial"/>
          <w:sz w:val="21"/>
          <w:szCs w:val="21"/>
        </w:rPr>
        <w:t xml:space="preserve">Member 2 builds the interoperability core: the API gateway, the ULPIN service, the schema-mapping engine and the mock departmental APIs that stand in for Revenue, Registration, Municipal, Planning, Tax and Utility systems. This is the technical heart of the research claim that departments can be connected without replacing their software.</w:t>
      </w:r>
    </w:p>
    <w:p>
      <w:pPr>
        <w:pStyle w:val="Heading2"/>
        <w:spacing w:after="100" w:before="220"/>
      </w:pPr>
      <w:r>
        <w:rPr>
          <w:rFonts w:ascii="Arial" w:cs="Arial" w:eastAsia="Arial" w:hAnsi="Arial"/>
          <w:b/>
          <w:bCs/>
          <w:color w:val="1B2A22"/>
          <w:sz w:val="24"/>
          <w:szCs w:val="24"/>
        </w:rPr>
        <w:t xml:space="preserve">1.1 Position in the project</w:t>
      </w:r>
    </w:p>
    <w:p>
      <w:pPr>
        <w:shd w:fill="F1F4F2" w:color="auto" w:val="clear"/>
        <w:spacing w:after="0"/>
      </w:pPr>
      <w:r>
        <w:rPr>
          <w:rFonts w:ascii="Courier New" w:cs="Courier New" w:eastAsia="Courier New" w:hAnsi="Courier New"/>
          <w:sz w:val="14"/>
          <w:szCs w:val="14"/>
        </w:rPr>
        <w:t xml:space="preserve">Mock Dept APIs (Revenue, Registration, Municipal, Tax, Planning, Utility)</w:t>
      </w:r>
    </w:p>
    <w:p>
      <w:pPr>
        <w:shd w:fill="F1F4F2" w:color="auto" w:val="clear"/>
        <w:spacing w:after="0"/>
      </w:pPr>
      <w:r>
        <w:rPr>
          <w:rFonts w:ascii="Courier New" w:cs="Courier New" w:eastAsia="Courier New" w:hAnsi="Courier New"/>
          <w:sz w:val="14"/>
          <w:szCs w:val="14"/>
        </w:rPr>
        <w:t xml:space="preserve">        |</w:t>
      </w:r>
    </w:p>
    <w:p>
      <w:pPr>
        <w:shd w:fill="F1F4F2" w:color="auto" w:val="clear"/>
        <w:spacing w:after="0"/>
      </w:pPr>
      <w:r>
        <w:rPr>
          <w:rFonts w:ascii="Courier New" w:cs="Courier New" w:eastAsia="Courier New" w:hAnsi="Courier New"/>
          <w:sz w:val="14"/>
          <w:szCs w:val="14"/>
        </w:rPr>
        <w:t xml:space="preserve">   [ Schema Mapper ] --&gt; [ Unified Parcel API + ULPIN service ] --&gt; Frontend, Dashboard</w:t>
      </w:r>
    </w:p>
    <w:p>
      <w:pPr>
        <w:shd w:fill="F1F4F2" w:color="auto" w:val="clear"/>
        <w:spacing w:after="0"/>
      </w:pPr>
      <w:r>
        <w:rPr>
          <w:rFonts w:ascii="Courier New" w:cs="Courier New" w:eastAsia="Courier New" w:hAnsi="Courier New"/>
          <w:sz w:val="14"/>
          <w:szCs w:val="14"/>
        </w:rPr>
        <w:t xml:space="preserve">        |                                   |</w:t>
      </w:r>
    </w:p>
    <w:p>
      <w:pPr>
        <w:shd w:fill="F1F4F2" w:color="auto" w:val="clear"/>
        <w:spacing w:after="0"/>
      </w:pPr>
      <w:r>
        <w:rPr>
          <w:rFonts w:ascii="Courier New" w:cs="Courier New" w:eastAsia="Courier New" w:hAnsi="Courier New"/>
          <w:sz w:val="14"/>
          <w:szCs w:val="14"/>
        </w:rPr>
        <w:t xml:space="preserve">   Database (Member 3)               Auth/Audit (Member 4)</w:t>
      </w:r>
    </w:p>
    <w:p>
      <w:pPr>
        <w:spacing w:after="120" w:line="276"/>
      </w:pPr>
      <w:r>
        <w:rPr>
          <w:rFonts w:ascii="Arial" w:cs="Arial" w:eastAsia="Arial" w:hAnsi="Arial"/>
          <w:sz w:val="21"/>
          <w:szCs w:val="21"/>
        </w:rPr>
        <w:t xml:space="preserve"/>
      </w:r>
    </w:p>
    <w:p>
      <w:pPr>
        <w:pStyle w:val="Heading1"/>
        <w:spacing w:after="140" w:before="320"/>
      </w:pPr>
      <w:r>
        <w:rPr>
          <w:rFonts w:ascii="Arial" w:cs="Arial" w:eastAsia="Arial" w:hAnsi="Arial"/>
          <w:b/>
          <w:bCs/>
          <w:color w:val="1F7A4D"/>
          <w:sz w:val="30"/>
          <w:szCs w:val="30"/>
        </w:rPr>
        <w:t xml:space="preserve">2. Objectives</w:t>
      </w:r>
    </w:p>
    <w:p>
      <w:pPr>
        <w:pStyle w:val="ListParagraph"/>
        <w:numPr>
          <w:ilvl w:val="0"/>
          <w:numId w:val="2"/>
        </w:numPr>
        <w:spacing w:after="60"/>
      </w:pPr>
      <w:r>
        <w:rPr>
          <w:rFonts w:ascii="Arial" w:cs="Arial" w:eastAsia="Arial" w:hAnsi="Arial"/>
          <w:sz w:val="21"/>
          <w:szCs w:val="21"/>
        </w:rPr>
        <w:t xml:space="preserve">Design and implement REST APIs documented with OpenAPI.</w:t>
      </w:r>
    </w:p>
    <w:p>
      <w:pPr>
        <w:pStyle w:val="ListParagraph"/>
        <w:numPr>
          <w:ilvl w:val="0"/>
          <w:numId w:val="2"/>
        </w:numPr>
        <w:spacing w:after="60"/>
      </w:pPr>
      <w:r>
        <w:rPr>
          <w:rFonts w:ascii="Arial" w:cs="Arial" w:eastAsia="Arial" w:hAnsi="Arial"/>
          <w:sz w:val="21"/>
          <w:szCs w:val="21"/>
        </w:rPr>
        <w:t xml:space="preserve">Implement ULPIN lookup and parcel-centric aggregation.</w:t>
      </w:r>
    </w:p>
    <w:p>
      <w:pPr>
        <w:pStyle w:val="ListParagraph"/>
        <w:numPr>
          <w:ilvl w:val="0"/>
          <w:numId w:val="2"/>
        </w:numPr>
        <w:spacing w:after="60"/>
      </w:pPr>
      <w:r>
        <w:rPr>
          <w:rFonts w:ascii="Arial" w:cs="Arial" w:eastAsia="Arial" w:hAnsi="Arial"/>
          <w:sz w:val="21"/>
          <w:szCs w:val="21"/>
        </w:rPr>
        <w:t xml:space="preserve">Build a schema-mapping layer that converts departmental schemas into the common Land Stack schema.</w:t>
      </w:r>
    </w:p>
    <w:p>
      <w:pPr>
        <w:pStyle w:val="ListParagraph"/>
        <w:numPr>
          <w:ilvl w:val="0"/>
          <w:numId w:val="2"/>
        </w:numPr>
        <w:spacing w:after="60"/>
      </w:pPr>
      <w:r>
        <w:rPr>
          <w:rFonts w:ascii="Arial" w:cs="Arial" w:eastAsia="Arial" w:hAnsi="Arial"/>
          <w:sz w:val="21"/>
          <w:szCs w:val="21"/>
        </w:rPr>
        <w:t xml:space="preserve">Simulate six departmental systems with mock APIs that use different formats.</w:t>
      </w:r>
    </w:p>
    <w:p>
      <w:pPr>
        <w:pStyle w:val="ListParagraph"/>
        <w:numPr>
          <w:ilvl w:val="0"/>
          <w:numId w:val="2"/>
        </w:numPr>
        <w:spacing w:after="60"/>
      </w:pPr>
      <w:r>
        <w:rPr>
          <w:rFonts w:ascii="Arial" w:cs="Arial" w:eastAsia="Arial" w:hAnsi="Arial"/>
          <w:sz w:val="21"/>
          <w:szCs w:val="21"/>
        </w:rPr>
        <w:t xml:space="preserve">Deliver an API standards document (naming, versioning, errors, pagination, security).</w:t>
      </w:r>
    </w:p>
    <w:p>
      <w:pPr>
        <w:pStyle w:val="Heading1"/>
        <w:spacing w:after="140" w:before="320"/>
      </w:pPr>
      <w:r>
        <w:rPr>
          <w:rFonts w:ascii="Arial" w:cs="Arial" w:eastAsia="Arial" w:hAnsi="Arial"/>
          <w:b/>
          <w:bCs/>
          <w:color w:val="1F7A4D"/>
          <w:sz w:val="30"/>
          <w:szCs w:val="30"/>
        </w:rPr>
        <w:t xml:space="preserve">3. Scope</w:t>
      </w:r>
    </w:p>
    <w:p>
      <w:pPr>
        <w:pStyle w:val="Heading2"/>
        <w:spacing w:after="100" w:before="220"/>
      </w:pPr>
      <w:r>
        <w:rPr>
          <w:rFonts w:ascii="Arial" w:cs="Arial" w:eastAsia="Arial" w:hAnsi="Arial"/>
          <w:b/>
          <w:bCs/>
          <w:color w:val="1B2A22"/>
          <w:sz w:val="24"/>
          <w:szCs w:val="24"/>
        </w:rPr>
        <w:t xml:space="preserve">3.1 In scope</w:t>
      </w:r>
    </w:p>
    <w:p>
      <w:pPr>
        <w:pStyle w:val="ListParagraph"/>
        <w:numPr>
          <w:ilvl w:val="0"/>
          <w:numId w:val="2"/>
        </w:numPr>
        <w:spacing w:after="60"/>
      </w:pPr>
      <w:r>
        <w:rPr>
          <w:rFonts w:ascii="Arial" w:cs="Arial" w:eastAsia="Arial" w:hAnsi="Arial"/>
          <w:sz w:val="21"/>
          <w:szCs w:val="21"/>
        </w:rPr>
        <w:t xml:space="preserve">Gateway, routing, rate limiting, caching</w:t>
      </w:r>
    </w:p>
    <w:p>
      <w:pPr>
        <w:pStyle w:val="ListParagraph"/>
        <w:numPr>
          <w:ilvl w:val="0"/>
          <w:numId w:val="2"/>
        </w:numPr>
        <w:spacing w:after="60"/>
      </w:pPr>
      <w:r>
        <w:rPr>
          <w:rFonts w:ascii="Arial" w:cs="Arial" w:eastAsia="Arial" w:hAnsi="Arial"/>
          <w:sz w:val="21"/>
          <w:szCs w:val="21"/>
        </w:rPr>
        <w:t xml:space="preserve">ULPIN service</w:t>
      </w:r>
    </w:p>
    <w:p>
      <w:pPr>
        <w:pStyle w:val="ListParagraph"/>
        <w:numPr>
          <w:ilvl w:val="0"/>
          <w:numId w:val="2"/>
        </w:numPr>
        <w:spacing w:after="60"/>
      </w:pPr>
      <w:r>
        <w:rPr>
          <w:rFonts w:ascii="Arial" w:cs="Arial" w:eastAsia="Arial" w:hAnsi="Arial"/>
          <w:sz w:val="21"/>
          <w:szCs w:val="21"/>
        </w:rPr>
        <w:t xml:space="preserve">Unified parcel record endpoint</w:t>
      </w:r>
    </w:p>
    <w:p>
      <w:pPr>
        <w:pStyle w:val="ListParagraph"/>
        <w:numPr>
          <w:ilvl w:val="0"/>
          <w:numId w:val="2"/>
        </w:numPr>
        <w:spacing w:after="60"/>
      </w:pPr>
      <w:r>
        <w:rPr>
          <w:rFonts w:ascii="Arial" w:cs="Arial" w:eastAsia="Arial" w:hAnsi="Arial"/>
          <w:sz w:val="21"/>
          <w:szCs w:val="21"/>
        </w:rPr>
        <w:t xml:space="preserve">Schema mapper and mapping configuration</w:t>
      </w:r>
    </w:p>
    <w:p>
      <w:pPr>
        <w:pStyle w:val="ListParagraph"/>
        <w:numPr>
          <w:ilvl w:val="0"/>
          <w:numId w:val="2"/>
        </w:numPr>
        <w:spacing w:after="60"/>
      </w:pPr>
      <w:r>
        <w:rPr>
          <w:rFonts w:ascii="Arial" w:cs="Arial" w:eastAsia="Arial" w:hAnsi="Arial"/>
          <w:sz w:val="21"/>
          <w:szCs w:val="21"/>
        </w:rPr>
        <w:t xml:space="preserve">Mock departmental APIs</w:t>
      </w:r>
    </w:p>
    <w:p>
      <w:pPr>
        <w:pStyle w:val="ListParagraph"/>
        <w:numPr>
          <w:ilvl w:val="0"/>
          <w:numId w:val="2"/>
        </w:numPr>
        <w:spacing w:after="60"/>
      </w:pPr>
      <w:r>
        <w:rPr>
          <w:rFonts w:ascii="Arial" w:cs="Arial" w:eastAsia="Arial" w:hAnsi="Arial"/>
          <w:sz w:val="21"/>
          <w:szCs w:val="21"/>
        </w:rPr>
        <w:t xml:space="preserve">API tests and documentation</w:t>
      </w:r>
    </w:p>
    <w:p>
      <w:pPr>
        <w:pStyle w:val="Heading2"/>
        <w:spacing w:after="100" w:before="220"/>
      </w:pPr>
      <w:r>
        <w:rPr>
          <w:rFonts w:ascii="Arial" w:cs="Arial" w:eastAsia="Arial" w:hAnsi="Arial"/>
          <w:b/>
          <w:bCs/>
          <w:color w:val="1B2A22"/>
          <w:sz w:val="24"/>
          <w:szCs w:val="24"/>
        </w:rPr>
        <w:t xml:space="preserve">3.2 Out of scope</w:t>
      </w:r>
    </w:p>
    <w:p>
      <w:pPr>
        <w:pStyle w:val="ListParagraph"/>
        <w:numPr>
          <w:ilvl w:val="0"/>
          <w:numId w:val="2"/>
        </w:numPr>
        <w:spacing w:after="60"/>
      </w:pPr>
      <w:r>
        <w:rPr>
          <w:rFonts w:ascii="Arial" w:cs="Arial" w:eastAsia="Arial" w:hAnsi="Arial"/>
          <w:sz w:val="21"/>
          <w:szCs w:val="21"/>
        </w:rPr>
        <w:t xml:space="preserve">Authentication provider and RBAC policy design (Member 4)</w:t>
      </w:r>
    </w:p>
    <w:p>
      <w:pPr>
        <w:pStyle w:val="ListParagraph"/>
        <w:numPr>
          <w:ilvl w:val="0"/>
          <w:numId w:val="2"/>
        </w:numPr>
        <w:spacing w:after="60"/>
      </w:pPr>
      <w:r>
        <w:rPr>
          <w:rFonts w:ascii="Arial" w:cs="Arial" w:eastAsia="Arial" w:hAnsi="Arial"/>
          <w:sz w:val="21"/>
          <w:szCs w:val="21"/>
        </w:rPr>
        <w:t xml:space="preserve">Database schema and ETL (Member 3)</w:t>
      </w:r>
    </w:p>
    <w:p>
      <w:pPr>
        <w:pStyle w:val="ListParagraph"/>
        <w:numPr>
          <w:ilvl w:val="0"/>
          <w:numId w:val="2"/>
        </w:numPr>
        <w:spacing w:after="60"/>
      </w:pPr>
      <w:r>
        <w:rPr>
          <w:rFonts w:ascii="Arial" w:cs="Arial" w:eastAsia="Arial" w:hAnsi="Arial"/>
          <w:sz w:val="21"/>
          <w:szCs w:val="21"/>
        </w:rPr>
        <w:t xml:space="preserve">Frontend screens (Members 1 and 4)</w:t>
      </w:r>
    </w:p>
    <w:p>
      <w:pPr>
        <w:pStyle w:val="Heading1"/>
        <w:spacing w:after="140" w:before="320"/>
      </w:pPr>
      <w:r>
        <w:rPr>
          <w:rFonts w:ascii="Arial" w:cs="Arial" w:eastAsia="Arial" w:hAnsi="Arial"/>
          <w:b/>
          <w:bCs/>
          <w:color w:val="1F7A4D"/>
          <w:sz w:val="30"/>
          <w:szCs w:val="30"/>
        </w:rPr>
        <w:t xml:space="preserve">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Area</w:t>
            </w:r>
          </w:p>
        </w:tc>
        <w:tc>
          <w:tcPr>
            <w:tcW w:type="dxa" w:w="300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Tools / Technology</w:t>
            </w:r>
          </w:p>
        </w:tc>
        <w:tc>
          <w:tcPr>
            <w:tcW w:type="dxa" w:w="4011"/>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Language/framework</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Python FastAPI (alternative: Node.js NestJS)</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REST APIs with automatic OpenAPI docs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Validation</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Pydantic</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Schema validation of inputs and outputs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Caching</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Redis</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Fast repeat parcel lookups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Gateway</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Kong or FastAPI middleware</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Routing, rate limits, logging hooks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Testing</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Pytest, Postman/Newman, Schemathesis</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Contract and functional tests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Docs</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OpenAPI 3, Swagger UI</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API reference</w:t>
            </w:r>
          </w:p>
        </w:tc>
      </w:tr>
    </w:tbl>
    <w:p>
      <w:pPr>
        <w:spacing w:after="120"/>
      </w:pPr>
    </w:p>
    <w:p>
      <w:pPr>
        <w:pStyle w:val="Heading1"/>
        <w:spacing w:after="140" w:before="320"/>
      </w:pPr>
      <w:r>
        <w:rPr>
          <w:rFonts w:ascii="Arial" w:cs="Arial" w:eastAsia="Arial" w:hAnsi="Arial"/>
          <w:b/>
          <w:bCs/>
          <w:color w:val="1F7A4D"/>
          <w:sz w:val="30"/>
          <w:szCs w:val="30"/>
        </w:rPr>
        <w:t xml:space="preserve">5. Modules and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513"/>
        <w:gridCol w:w="2708"/>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4513"/>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c>
          <w:tcPr>
            <w:tcW w:type="dxa" w:w="2708"/>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Output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API gateway</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Single entry point with versioning, rate limits and request logging</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Gateway configuration</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ULPIN service</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Validate, look up and resolve parcel identifiers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/ulpin endpoints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Schema mapper</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Config-driven mapping from departmental fields to common schema</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Mapping engine and templates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Mock department APIs</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Six services returning data in deliberately different formats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Mock servers with sample data</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Aggregator</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Combines all departmental data for one ULPIN into a unified record</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GET /parcels/{ulpin}</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API standards</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Naming, versions, errors, pagination, security headers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API standards document</w:t>
            </w:r>
          </w:p>
        </w:tc>
      </w:tr>
    </w:tbl>
    <w:p>
      <w:pPr>
        <w:spacing w:after="120"/>
      </w:pPr>
    </w:p>
    <w:p>
      <w:pPr>
        <w:pStyle w:val="Heading2"/>
        <w:spacing w:after="100" w:before="220"/>
      </w:pPr>
      <w:r>
        <w:rPr>
          <w:rFonts w:ascii="Arial" w:cs="Arial" w:eastAsia="Arial" w:hAnsi="Arial"/>
          <w:b/>
          <w:bCs/>
          <w:color w:val="1B2A22"/>
          <w:sz w:val="24"/>
          <w:szCs w:val="24"/>
        </w:rPr>
        <w:t xml:space="preserve">5.1 Core endpoints (proposed)</w:t>
      </w:r>
    </w:p>
    <w:p>
      <w:pPr>
        <w:pStyle w:val="ListParagraph"/>
        <w:numPr>
          <w:ilvl w:val="0"/>
          <w:numId w:val="2"/>
        </w:numPr>
        <w:spacing w:after="60"/>
      </w:pPr>
      <w:r>
        <w:rPr>
          <w:rFonts w:ascii="Arial" w:cs="Arial" w:eastAsia="Arial" w:hAnsi="Arial"/>
          <w:sz w:val="21"/>
          <w:szCs w:val="21"/>
        </w:rPr>
        <w:t xml:space="preserve">GET /api/v1/parcels/{ulpin}: unified parcel record</w:t>
      </w:r>
    </w:p>
    <w:p>
      <w:pPr>
        <w:pStyle w:val="ListParagraph"/>
        <w:numPr>
          <w:ilvl w:val="0"/>
          <w:numId w:val="2"/>
        </w:numPr>
        <w:spacing w:after="60"/>
      </w:pPr>
      <w:r>
        <w:rPr>
          <w:rFonts w:ascii="Arial" w:cs="Arial" w:eastAsia="Arial" w:hAnsi="Arial"/>
          <w:sz w:val="21"/>
          <w:szCs w:val="21"/>
        </w:rPr>
        <w:t xml:space="preserve">GET /api/v1/search?q=: search by ULPIN, owner, survey number</w:t>
      </w:r>
    </w:p>
    <w:p>
      <w:pPr>
        <w:pStyle w:val="ListParagraph"/>
        <w:numPr>
          <w:ilvl w:val="0"/>
          <w:numId w:val="2"/>
        </w:numPr>
        <w:spacing w:after="60"/>
      </w:pPr>
      <w:r>
        <w:rPr>
          <w:rFonts w:ascii="Arial" w:cs="Arial" w:eastAsia="Arial" w:hAnsi="Arial"/>
          <w:sz w:val="21"/>
          <w:szCs w:val="21"/>
        </w:rPr>
        <w:t xml:space="preserve">GET /api/v1/parcels/{ulpin}/registration, /tax, /encumbrances, /permits, /restrictions, /utilities</w:t>
      </w:r>
    </w:p>
    <w:p>
      <w:pPr>
        <w:pStyle w:val="ListParagraph"/>
        <w:numPr>
          <w:ilvl w:val="0"/>
          <w:numId w:val="2"/>
        </w:numPr>
        <w:spacing w:after="60"/>
      </w:pPr>
      <w:r>
        <w:rPr>
          <w:rFonts w:ascii="Arial" w:cs="Arial" w:eastAsia="Arial" w:hAnsi="Arial"/>
          <w:sz w:val="21"/>
          <w:szCs w:val="21"/>
        </w:rPr>
        <w:t xml:space="preserve">POST /api/v1/service-requests: create a citizen service request</w:t>
      </w:r>
    </w:p>
    <w:p>
      <w:pPr>
        <w:pStyle w:val="ListParagraph"/>
        <w:numPr>
          <w:ilvl w:val="0"/>
          <w:numId w:val="2"/>
        </w:numPr>
        <w:spacing w:after="60"/>
      </w:pPr>
      <w:r>
        <w:rPr>
          <w:rFonts w:ascii="Arial" w:cs="Arial" w:eastAsia="Arial" w:hAnsi="Arial"/>
          <w:sz w:val="21"/>
          <w:szCs w:val="21"/>
        </w:rPr>
        <w:t xml:space="preserve">GET /api/v1/alerts: AI-generated alerts (from Member 5)</w:t>
      </w:r>
    </w:p>
    <w:p>
      <w:pPr>
        <w:pStyle w:val="ListParagraph"/>
        <w:numPr>
          <w:ilvl w:val="0"/>
          <w:numId w:val="2"/>
        </w:numPr>
        <w:spacing w:after="60"/>
      </w:pPr>
      <w:r>
        <w:rPr>
          <w:rFonts w:ascii="Arial" w:cs="Arial" w:eastAsia="Arial" w:hAnsi="Arial"/>
          <w:sz w:val="21"/>
          <w:szCs w:val="21"/>
        </w:rPr>
        <w:t xml:space="preserve">GET /api/v1/health and /api/v1/departments/status: system and mock API status</w:t>
      </w:r>
    </w:p>
    <w:p>
      <w:pPr>
        <w:pStyle w:val="Heading2"/>
        <w:spacing w:after="100" w:before="220"/>
      </w:pPr>
      <w:r>
        <w:rPr>
          <w:rFonts w:ascii="Arial" w:cs="Arial" w:eastAsia="Arial" w:hAnsi="Arial"/>
          <w:b/>
          <w:bCs/>
          <w:color w:val="1B2A22"/>
          <w:sz w:val="24"/>
          <w:szCs w:val="24"/>
        </w:rPr>
        <w:t xml:space="preserve">5.2 Interoperability demonstration</w:t>
      </w:r>
    </w:p>
    <w:p>
      <w:pPr>
        <w:spacing w:after="120" w:line="276"/>
      </w:pPr>
      <w:r>
        <w:rPr>
          <w:rFonts w:ascii="Arial" w:cs="Arial" w:eastAsia="Arial" w:hAnsi="Arial"/>
          <w:sz w:val="21"/>
          <w:szCs w:val="21"/>
        </w:rPr>
        <w:t xml:space="preserve">Each mock department intentionally uses a different field naming and format (for example, one returns XML, another uses different date formats and identifiers). The schema mapper converts all of them to the common schema, which demonstrates that departments need not change their internal systems.</w:t>
      </w:r>
    </w:p>
    <w:p>
      <w:pPr>
        <w:pStyle w:val="Heading1"/>
        <w:spacing w:after="140" w:before="320"/>
      </w:pPr>
      <w:r>
        <w:rPr>
          <w:rFonts w:ascii="Arial" w:cs="Arial" w:eastAsia="Arial" w:hAnsi="Arial"/>
          <w:b/>
          <w:bCs/>
          <w:color w:val="1F7A4D"/>
          <w:sz w:val="30"/>
          <w:szCs w:val="30"/>
        </w:rPr>
        <w:t xml:space="preserve">6. Datasets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Dataset</w:t>
            </w:r>
          </w:p>
        </w:tc>
        <w:tc>
          <w:tcPr>
            <w:tcW w:type="dxa" w:w="6017"/>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How it is used in this role</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Synthetic departmental records</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Served by the mock APIs after mapping to ULPIN</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Parcel geometry and attributes (via Member 3)</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Returned within unified parcel record</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Kaggle real-estate patterns</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Guide realistic values in mock registration and tax responses</w:t>
            </w:r>
          </w:p>
        </w:tc>
      </w:tr>
    </w:tbl>
    <w:p>
      <w:pPr>
        <w:spacing w:after="120"/>
      </w:pPr>
    </w:p>
    <w:p>
      <w:pPr>
        <w:pStyle w:val="Heading1"/>
        <w:spacing w:after="140" w:before="320"/>
      </w:pPr>
      <w:r>
        <w:rPr>
          <w:rFonts w:ascii="Arial" w:cs="Arial" w:eastAsia="Arial" w:hAnsi="Arial"/>
          <w:b/>
          <w:bCs/>
          <w:color w:val="1F7A4D"/>
          <w:sz w:val="30"/>
          <w:szCs w:val="30"/>
        </w:rPr>
        <w:t xml:space="preserve">7. Interfaces with Other 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With</w:t>
            </w:r>
          </w:p>
        </w:tc>
        <w:tc>
          <w:tcPr>
            <w:tcW w:type="dxa" w:w="3610"/>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This role provides</w:t>
            </w:r>
          </w:p>
        </w:tc>
        <w:tc>
          <w:tcPr>
            <w:tcW w:type="dxa" w:w="3611"/>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This role needs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1 (Frontend)</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OpenAPI spec, stable endpoints, mock responses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UI data requirements and error-state needs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3 (Database)</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Query requirements and mapping specification</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Common schema, ULPIN table, indexes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4 (Security/Officer)</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Middleware hooks for auth, audit and workflow events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Token validation, roles, audit event format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5 (AI/ML)</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Endpoint to receive alerts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Alert payload format and inference API</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6 (Cloud)</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Dockerfiles, health checks, config</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Deployment environment, secrets, gateway hosting</w:t>
            </w:r>
          </w:p>
        </w:tc>
      </w:tr>
    </w:tbl>
    <w:p>
      <w:pPr>
        <w:spacing w:after="120"/>
      </w:pPr>
    </w:p>
    <w:p>
      <w:pPr>
        <w:pStyle w:val="Heading1"/>
        <w:spacing w:after="140" w:before="320"/>
      </w:pPr>
      <w:r>
        <w:rPr>
          <w:rFonts w:ascii="Arial" w:cs="Arial" w:eastAsia="Arial" w:hAnsi="Arial"/>
          <w:b/>
          <w:bCs/>
          <w:color w:val="1F7A4D"/>
          <w:sz w:val="30"/>
          <w:szCs w:val="30"/>
        </w:rPr>
        <w:t xml:space="preserve">8. Work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903"/>
        <w:gridCol w:w="6318"/>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903"/>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Weeks</w:t>
            </w:r>
          </w:p>
        </w:tc>
        <w:tc>
          <w:tcPr>
            <w:tcW w:type="dxa" w:w="6318"/>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Tasks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Design</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4-6</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API contract in OpenAPI, common schema agreement, mapping template design</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Mock services</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7-8</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Six mock departmental APIs with sample data</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Core APIs</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8-11</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ULPIN service, aggregator, search, service requests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Schema mapper</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10-12</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Mapping engine, templates for each mock department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Integrate</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13-15</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Auth middleware, audit hooks, AI alert endpoint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Test and document</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15-18</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Contract tests, load tests with Member 6, API standards document</w:t>
            </w:r>
          </w:p>
        </w:tc>
      </w:tr>
    </w:tbl>
    <w:p>
      <w:pPr>
        <w:spacing w:after="120"/>
      </w:pPr>
    </w:p>
    <w:p>
      <w:pPr>
        <w:pStyle w:val="Heading1"/>
        <w:spacing w:after="140" w:before="320"/>
      </w:pPr>
      <w:r>
        <w:rPr>
          <w:rFonts w:ascii="Arial" w:cs="Arial" w:eastAsia="Arial" w:hAnsi="Arial"/>
          <w:b/>
          <w:bCs/>
          <w:color w:val="1F7A4D"/>
          <w:sz w:val="30"/>
          <w:szCs w:val="30"/>
        </w:rPr>
        <w:t xml:space="preserve">9. Acceptance Criteria</w:t>
      </w:r>
    </w:p>
    <w:p>
      <w:pPr>
        <w:pStyle w:val="ListParagraph"/>
        <w:numPr>
          <w:ilvl w:val="0"/>
          <w:numId w:val="2"/>
        </w:numPr>
        <w:spacing w:after="60"/>
      </w:pPr>
      <w:r>
        <w:rPr>
          <w:rFonts w:ascii="Arial" w:cs="Arial" w:eastAsia="Arial" w:hAnsi="Arial"/>
          <w:sz w:val="21"/>
          <w:szCs w:val="21"/>
        </w:rPr>
        <w:t xml:space="preserve">Every documented endpoint returns valid, schema-conformant responses.</w:t>
      </w:r>
    </w:p>
    <w:p>
      <w:pPr>
        <w:pStyle w:val="ListParagraph"/>
        <w:numPr>
          <w:ilvl w:val="0"/>
          <w:numId w:val="2"/>
        </w:numPr>
        <w:spacing w:after="60"/>
      </w:pPr>
      <w:r>
        <w:rPr>
          <w:rFonts w:ascii="Arial" w:cs="Arial" w:eastAsia="Arial" w:hAnsi="Arial"/>
          <w:sz w:val="21"/>
          <w:szCs w:val="21"/>
        </w:rPr>
        <w:t xml:space="preserve">Six mock departments are integrated through the mapper with no changes to their formats.</w:t>
      </w:r>
    </w:p>
    <w:p>
      <w:pPr>
        <w:pStyle w:val="ListParagraph"/>
        <w:numPr>
          <w:ilvl w:val="0"/>
          <w:numId w:val="2"/>
        </w:numPr>
        <w:spacing w:after="60"/>
      </w:pPr>
      <w:r>
        <w:rPr>
          <w:rFonts w:ascii="Arial" w:cs="Arial" w:eastAsia="Arial" w:hAnsi="Arial"/>
          <w:sz w:val="21"/>
          <w:szCs w:val="21"/>
        </w:rPr>
        <w:t xml:space="preserve">Unified parcel record for a ULPIN is returned in under 500 ms (cached) on the test setup.</w:t>
      </w:r>
    </w:p>
    <w:p>
      <w:pPr>
        <w:pStyle w:val="ListParagraph"/>
        <w:numPr>
          <w:ilvl w:val="0"/>
          <w:numId w:val="2"/>
        </w:numPr>
        <w:spacing w:after="60"/>
      </w:pPr>
      <w:r>
        <w:rPr>
          <w:rFonts w:ascii="Arial" w:cs="Arial" w:eastAsia="Arial" w:hAnsi="Arial"/>
          <w:sz w:val="21"/>
          <w:szCs w:val="21"/>
        </w:rPr>
        <w:t xml:space="preserve">Contract tests pass in the CI pipeline.</w:t>
      </w:r>
    </w:p>
    <w:p>
      <w:pPr>
        <w:pStyle w:val="ListParagraph"/>
        <w:numPr>
          <w:ilvl w:val="0"/>
          <w:numId w:val="2"/>
        </w:numPr>
        <w:spacing w:after="60"/>
      </w:pPr>
      <w:r>
        <w:rPr>
          <w:rFonts w:ascii="Arial" w:cs="Arial" w:eastAsia="Arial" w:hAnsi="Arial"/>
          <w:sz w:val="21"/>
          <w:szCs w:val="21"/>
        </w:rPr>
        <w:t xml:space="preserve">API standards document is complete and matches the implementation.</w:t>
      </w:r>
    </w:p>
    <w:p>
      <w:pPr>
        <w:pStyle w:val="Heading1"/>
        <w:spacing w:after="140" w:before="320"/>
      </w:pPr>
      <w:r>
        <w:rPr>
          <w:rFonts w:ascii="Arial" w:cs="Arial" w:eastAsia="Arial" w:hAnsi="Arial"/>
          <w:b/>
          <w:bCs/>
          <w:color w:val="1F7A4D"/>
          <w:sz w:val="30"/>
          <w:szCs w:val="30"/>
        </w:rPr>
        <w:t xml:space="preserve">10.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5014"/>
      </w:tblGrid>
      <w:tr>
        <w:trPr>
          <w:tblHeader/>
        </w:trPr>
        <w:tc>
          <w:tcPr>
            <w:tcW w:type="dxa" w:w="4012"/>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Risk</w:t>
            </w:r>
          </w:p>
        </w:tc>
        <w:tc>
          <w:tcPr>
            <w:tcW w:type="dxa" w:w="5014"/>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Mitigation</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Frontend blocked by unfinished APIs</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Publish OpenAPI early and provide mock responses</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Mapping rules become hard-coded</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Keep mappings in configuration files, not code</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Inconsistent ULPIN handling</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Single ULPIN service used by all modules</w:t>
            </w:r>
          </w:p>
        </w:tc>
      </w:tr>
    </w:tbl>
    <w:p>
      <w:pPr>
        <w:spacing w:after="120"/>
      </w:pPr>
    </w:p>
    <w:p>
      <w:pPr>
        <w:pStyle w:val="Heading1"/>
        <w:spacing w:after="140" w:before="320"/>
      </w:pPr>
      <w:r>
        <w:rPr>
          <w:rFonts w:ascii="Arial" w:cs="Arial" w:eastAsia="Arial" w:hAnsi="Arial"/>
          <w:b/>
          <w:bCs/>
          <w:color w:val="1F7A4D"/>
          <w:sz w:val="30"/>
          <w:szCs w:val="30"/>
        </w:rPr>
        <w:t xml:space="preserve">11. Contribution to Project Goals</w:t>
      </w:r>
    </w:p>
    <w:p>
      <w:pPr>
        <w:spacing w:after="120" w:line="276"/>
      </w:pPr>
      <w:r>
        <w:rPr>
          <w:rFonts w:ascii="Arial" w:cs="Arial" w:eastAsia="Arial" w:hAnsi="Arial"/>
          <w:sz w:val="21"/>
          <w:szCs w:val="21"/>
        </w:rPr>
        <w:t xml:space="preserve">The integration layer is the main research contribution: a replicable technical framework showing that fragmented land systems can be connected through a common parcel identifier, schema and open APIs. It supports SDG 16.6 (transparent institutions), SDG 9.1 (reliable infrastructure) and SDG 17 (data sharing between departments).</w:t>
      </w:r>
    </w:p>
    <w:p>
      <w:pPr>
        <w:pStyle w:val="Heading1"/>
        <w:spacing w:after="140" w:before="320"/>
      </w:pPr>
      <w:r>
        <w:rPr>
          <w:rFonts w:ascii="Arial" w:cs="Arial" w:eastAsia="Arial" w:hAnsi="Arial"/>
          <w:b/>
          <w:bCs/>
          <w:color w:val="1F7A4D"/>
          <w:sz w:val="30"/>
          <w:szCs w:val="30"/>
        </w:rPr>
        <w:t xml:space="preserve">12. Skills and Learning Outcomes</w:t>
      </w:r>
    </w:p>
    <w:p>
      <w:pPr>
        <w:pStyle w:val="ListParagraph"/>
        <w:numPr>
          <w:ilvl w:val="0"/>
          <w:numId w:val="2"/>
        </w:numPr>
        <w:spacing w:after="60"/>
      </w:pPr>
      <w:r>
        <w:rPr>
          <w:rFonts w:ascii="Arial" w:cs="Arial" w:eastAsia="Arial" w:hAnsi="Arial"/>
          <w:sz w:val="21"/>
          <w:szCs w:val="21"/>
        </w:rPr>
        <w:t xml:space="preserve">API design and OpenAPI</w:t>
      </w:r>
    </w:p>
    <w:p>
      <w:pPr>
        <w:pStyle w:val="ListParagraph"/>
        <w:numPr>
          <w:ilvl w:val="0"/>
          <w:numId w:val="2"/>
        </w:numPr>
        <w:spacing w:after="60"/>
      </w:pPr>
      <w:r>
        <w:rPr>
          <w:rFonts w:ascii="Arial" w:cs="Arial" w:eastAsia="Arial" w:hAnsi="Arial"/>
          <w:sz w:val="21"/>
          <w:szCs w:val="21"/>
        </w:rPr>
        <w:t xml:space="preserve">Data mapping and interoperability</w:t>
      </w:r>
    </w:p>
    <w:p>
      <w:pPr>
        <w:pStyle w:val="ListParagraph"/>
        <w:numPr>
          <w:ilvl w:val="0"/>
          <w:numId w:val="2"/>
        </w:numPr>
        <w:spacing w:after="60"/>
      </w:pPr>
      <w:r>
        <w:rPr>
          <w:rFonts w:ascii="Arial" w:cs="Arial" w:eastAsia="Arial" w:hAnsi="Arial"/>
          <w:sz w:val="21"/>
          <w:szCs w:val="21"/>
        </w:rPr>
        <w:t xml:space="preserve">Caching and performance</w:t>
      </w:r>
    </w:p>
    <w:p>
      <w:pPr>
        <w:pStyle w:val="ListParagraph"/>
        <w:numPr>
          <w:ilvl w:val="0"/>
          <w:numId w:val="2"/>
        </w:numPr>
        <w:spacing w:after="60"/>
      </w:pPr>
      <w:r>
        <w:rPr>
          <w:rFonts w:ascii="Arial" w:cs="Arial" w:eastAsia="Arial" w:hAnsi="Arial"/>
          <w:sz w:val="21"/>
          <w:szCs w:val="21"/>
        </w:rPr>
        <w:t xml:space="preserve">Contract testing</w:t>
      </w:r>
    </w:p>
    <w:p>
      <w:pPr>
        <w:pStyle w:val="Heading1"/>
        <w:spacing w:after="140" w:before="320"/>
      </w:pPr>
      <w:r>
        <w:rPr>
          <w:rFonts w:ascii="Arial" w:cs="Arial" w:eastAsia="Arial" w:hAnsi="Arial"/>
          <w:b/>
          <w:bCs/>
          <w:color w:val="1F7A4D"/>
          <w:sz w:val="30"/>
          <w:szCs w:val="30"/>
        </w:rPr>
        <w:t xml:space="preserve">References</w:t>
      </w:r>
    </w:p>
    <w:p>
      <w:pPr>
        <w:pStyle w:val="ListParagraph"/>
        <w:numPr>
          <w:ilvl w:val="0"/>
          <w:numId w:val="2"/>
        </w:numPr>
        <w:spacing w:after="60"/>
      </w:pPr>
      <w:r>
        <w:rPr>
          <w:rFonts w:ascii="Arial" w:cs="Arial" w:eastAsia="Arial" w:hAnsi="Arial"/>
          <w:sz w:val="21"/>
          <w:szCs w:val="21"/>
        </w:rPr>
        <w:t xml:space="preserve">PIB (May 2026), Land Stack Initiative to Usher in Transparent and Citizen-Centric Land Management. https://www.pib.gov.in/PressReleasePage.aspx?PRID=2259050</w:t>
      </w:r>
    </w:p>
    <w:p>
      <w:pPr>
        <w:pStyle w:val="ListParagraph"/>
        <w:numPr>
          <w:ilvl w:val="0"/>
          <w:numId w:val="2"/>
        </w:numPr>
        <w:spacing w:after="60"/>
      </w:pPr>
      <w:r>
        <w:rPr>
          <w:rFonts w:ascii="Arial" w:cs="Arial" w:eastAsia="Arial" w:hAnsi="Arial"/>
          <w:sz w:val="21"/>
          <w:szCs w:val="21"/>
        </w:rPr>
        <w:t xml:space="preserve">PIB (Dec 2025), National Symposium on Naksha and LandStack. https://www.pib.gov.in/PressReleasePage.aspx?PRID=2197439</w:t>
      </w:r>
    </w:p>
    <w:p>
      <w:pPr>
        <w:pStyle w:val="ListParagraph"/>
        <w:numPr>
          <w:ilvl w:val="0"/>
          <w:numId w:val="2"/>
        </w:numPr>
        <w:spacing w:after="60"/>
      </w:pPr>
      <w:r>
        <w:rPr>
          <w:rFonts w:ascii="Arial" w:cs="Arial" w:eastAsia="Arial" w:hAnsi="Arial"/>
          <w:sz w:val="21"/>
          <w:szCs w:val="21"/>
        </w:rPr>
        <w:t xml:space="preserve">PIB (Sept 2026), Operational Guidelines for DILRMP 3.0. https://www.pib.gov.in/PressReleaseIframePage.aspx?PRID=2308504</w:t>
      </w:r>
    </w:p>
    <w:p>
      <w:pPr>
        <w:pStyle w:val="ListParagraph"/>
        <w:numPr>
          <w:ilvl w:val="0"/>
          <w:numId w:val="2"/>
        </w:numPr>
        <w:spacing w:after="60"/>
      </w:pPr>
      <w:r>
        <w:rPr>
          <w:rFonts w:ascii="Arial" w:cs="Arial" w:eastAsia="Arial" w:hAnsi="Arial"/>
          <w:sz w:val="21"/>
          <w:szCs w:val="21"/>
        </w:rPr>
        <w:t xml:space="preserve">PIB (May 2026), Land Stack as next layer of Digital Public Infrastructure. https://www.pib.gov.in/PressReleasePage.aspx?PRID=2263740</w:t>
      </w:r>
    </w:p>
    <w:p>
      <w:pPr>
        <w:pStyle w:val="ListParagraph"/>
        <w:numPr>
          <w:ilvl w:val="0"/>
          <w:numId w:val="2"/>
        </w:numPr>
        <w:spacing w:after="60"/>
      </w:pPr>
      <w:r>
        <w:rPr>
          <w:rFonts w:ascii="Arial" w:cs="Arial" w:eastAsia="Arial" w:hAnsi="Arial"/>
          <w:sz w:val="21"/>
          <w:szCs w:val="21"/>
        </w:rPr>
        <w:t xml:space="preserve">PIB (Aug 2026), Bharat Land Stack and Bhu-Aadhaar. https://www.pib.gov.in/PressReleasePage.aspx?PRID=2303882</w:t>
      </w:r>
    </w:p>
    <w:p>
      <w:pPr>
        <w:pStyle w:val="ListParagraph"/>
        <w:numPr>
          <w:ilvl w:val="0"/>
          <w:numId w:val="2"/>
        </w:numPr>
        <w:spacing w:after="60"/>
      </w:pPr>
      <w:r>
        <w:rPr>
          <w:rFonts w:ascii="Arial" w:cs="Arial" w:eastAsia="Arial" w:hAnsi="Arial"/>
          <w:sz w:val="21"/>
          <w:szCs w:val="21"/>
        </w:rPr>
        <w:t xml:space="preserve">DoLR, DILRMP / ULPIN page. https://dolr.gov.in/en/department-of-land-resources-govt-of-india-is-implementing-digital-india-land-records-modernization-program-through-state-ut-governments/</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756C"/>
        <w:sz w:val="16"/>
        <w:szCs w:val="16"/>
      </w:rPr>
      <w:t xml:space="preserve">Page </w:t>
    </w:r>
    <w:r>
      <w:rPr>
        <w:rFonts w:ascii="Arial" w:cs="Arial" w:eastAsia="Arial" w:hAnsi="Arial"/>
        <w:color w:val="6675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756C"/>
        <w:sz w:val="16"/>
        <w:szCs w:val="16"/>
      </w:rPr>
      <w:t xml:space="preserve">Land Stack | Report 2: Backend API and Integration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2026-09-29T07:30:30.956Z</dcterms:created>
  <dcterms:modified xsi:type="dcterms:W3CDTF">2026-09-29T07:30:30.956Z</dcterms:modified>
</cp:coreProperties>
</file>

<file path=docProps/custom.xml><?xml version="1.0" encoding="utf-8"?>
<Properties xmlns="http://schemas.openxmlformats.org/officeDocument/2006/custom-properties" xmlns:vt="http://schemas.openxmlformats.org/officeDocument/2006/docPropsVTypes"/>
</file>