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1F7A4D"/>
          <w:spacing w:val="60"/>
          <w:sz w:val="24"/>
          <w:szCs w:val="24"/>
        </w:rPr>
        <w:t xml:space="preserve">LAND STACK</w:t>
      </w:r>
    </w:p>
    <w:p>
      <w:pPr>
        <w:spacing w:after="200"/>
      </w:pPr>
      <w:r>
        <w:rPr>
          <w:rFonts w:ascii="Arial" w:cs="Arial" w:eastAsia="Arial" w:hAnsi="Arial"/>
          <w:b/>
          <w:bCs/>
          <w:sz w:val="46"/>
          <w:szCs w:val="46"/>
        </w:rPr>
        <w:t xml:space="preserve">Report 3: Geospatial Database and Data Engineering</w:t>
      </w:r>
    </w:p>
    <w:p>
      <w:pPr>
        <w:pBdr>
          <w:bottom w:val="single" w:color="1F7A4D" w:sz="12" w:space="8"/>
        </w:pBdr>
        <w:spacing w:after="600"/>
      </w:pPr>
      <w:r>
        <w:rPr>
          <w:rFonts w:ascii="Arial" w:cs="Arial" w:eastAsia="Arial" w:hAnsi="Arial"/>
          <w:color w:val="66756C"/>
          <w:sz w:val="24"/>
          <w:szCs w:val="24"/>
        </w:rPr>
        <w:t xml:space="preserve">Full-Stack track, Member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44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Project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Land Stack: Integrated GIS-Based Digital Public Infrastructure for Land Governance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Team member</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3 (Full-Stack)</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Geospatial Database and Data Engineering</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Nature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Applied Research + Software Development + GIS-Based Prototype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Current TRL / target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TRL 2 / TRL 4</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Duration</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18 weeks</w:t>
            </w:r>
          </w:p>
        </w:tc>
      </w:tr>
    </w:tbl>
    <w:p>
      <w:pPr>
        <w:spacing w:after="120"/>
      </w:pPr>
    </w:p>
    <w:p>
      <w:r>
        <w:br w:type="page"/>
      </w:r>
    </w:p>
    <w:p>
      <w:pPr>
        <w:pStyle w:val="Heading1"/>
        <w:spacing w:after="140" w:before="320"/>
      </w:pPr>
      <w:r>
        <w:rPr>
          <w:rFonts w:ascii="Arial" w:cs="Arial" w:eastAsia="Arial" w:hAnsi="Arial"/>
          <w:b/>
          <w:bCs/>
          <w:color w:val="1F7A4D"/>
          <w:sz w:val="30"/>
          <w:szCs w:val="30"/>
        </w:rPr>
        <w:t xml:space="preserve">1. Role Overview</w:t>
      </w:r>
    </w:p>
    <w:p>
      <w:pPr>
        <w:spacing w:after="120" w:line="276"/>
      </w:pPr>
      <w:r>
        <w:rPr>
          <w:rFonts w:ascii="Arial" w:cs="Arial" w:eastAsia="Arial" w:hAnsi="Arial"/>
          <w:sz w:val="21"/>
          <w:szCs w:val="21"/>
        </w:rPr>
        <w:t xml:space="preserve">Member 3 owns the data: acquiring parcel and boundary datasets, designing the standard Land Stack schema in PostGIS, simulating ULPINs, generating synthetic departmental records, and serving vector tiles. Every other module depends on this data foundation.</w:t>
      </w:r>
    </w:p>
    <w:p>
      <w:pPr>
        <w:pStyle w:val="Heading2"/>
        <w:spacing w:after="100" w:before="220"/>
      </w:pPr>
      <w:r>
        <w:rPr>
          <w:rFonts w:ascii="Arial" w:cs="Arial" w:eastAsia="Arial" w:hAnsi="Arial"/>
          <w:b/>
          <w:bCs/>
          <w:color w:val="1B2A22"/>
          <w:sz w:val="24"/>
          <w:szCs w:val="24"/>
        </w:rPr>
        <w:t xml:space="preserve">1.1 Position in the project</w:t>
      </w:r>
    </w:p>
    <w:p>
      <w:pPr>
        <w:shd w:fill="F1F4F2" w:color="auto" w:val="clear"/>
        <w:spacing w:after="0"/>
      </w:pPr>
      <w:r>
        <w:rPr>
          <w:rFonts w:ascii="Courier New" w:cs="Courier New" w:eastAsia="Courier New" w:hAnsi="Courier New"/>
          <w:sz w:val="14"/>
          <w:szCs w:val="14"/>
        </w:rPr>
        <w:t xml:space="preserve">Public datasets --&gt; [ ETL + cleaning ] --&gt; [ PostGIS: common schema + ULPIN ]</w:t>
      </w:r>
    </w:p>
    <w:p>
      <w:pPr>
        <w:shd w:fill="F1F4F2" w:color="auto" w:val="clear"/>
        <w:spacing w:after="0"/>
      </w:pPr>
      <w:r>
        <w:rPr>
          <w:rFonts w:ascii="Courier New" w:cs="Courier New" w:eastAsia="Courier New" w:hAnsi="Courier New"/>
          <w:sz w:val="14"/>
          <w:szCs w:val="14"/>
        </w:rPr>
        <w:t xml:space="preserve">                                                   |--&gt; Vector tiles (Member 1)</w:t>
      </w:r>
    </w:p>
    <w:p>
      <w:pPr>
        <w:shd w:fill="F1F4F2" w:color="auto" w:val="clear"/>
        <w:spacing w:after="0"/>
      </w:pPr>
      <w:r>
        <w:rPr>
          <w:rFonts w:ascii="Courier New" w:cs="Courier New" w:eastAsia="Courier New" w:hAnsi="Courier New"/>
          <w:sz w:val="14"/>
          <w:szCs w:val="14"/>
        </w:rPr>
        <w:t xml:space="preserve">                                                   |--&gt; Queries (Member 2)</w:t>
      </w:r>
    </w:p>
    <w:p>
      <w:pPr>
        <w:shd w:fill="F1F4F2" w:color="auto" w:val="clear"/>
        <w:spacing w:after="0"/>
      </w:pPr>
      <w:r>
        <w:rPr>
          <w:rFonts w:ascii="Courier New" w:cs="Courier New" w:eastAsia="Courier New" w:hAnsi="Courier New"/>
          <w:sz w:val="14"/>
          <w:szCs w:val="14"/>
        </w:rPr>
        <w:t xml:space="preserve">                                                   |--&gt; Training data prep (Member 5)</w:t>
      </w:r>
    </w:p>
    <w:p>
      <w:pPr>
        <w:shd w:fill="F1F4F2" w:color="auto" w:val="clear"/>
        <w:spacing w:after="0"/>
      </w:pPr>
      <w:r>
        <w:rPr>
          <w:rFonts w:ascii="Courier New" w:cs="Courier New" w:eastAsia="Courier New" w:hAnsi="Courier New"/>
          <w:sz w:val="14"/>
          <w:szCs w:val="14"/>
        </w:rPr>
        <w:t xml:space="preserve"> Synthetic data generator --&gt; departmental tables keyed on ULPIN</w:t>
      </w:r>
    </w:p>
    <w:p>
      <w:pPr>
        <w:spacing w:after="120" w:line="276"/>
      </w:pPr>
      <w:r>
        <w:rPr>
          <w:rFonts w:ascii="Arial" w:cs="Arial" w:eastAsia="Arial" w:hAnsi="Arial"/>
          <w:sz w:val="21"/>
          <w:szCs w:val="21"/>
        </w:rPr>
        <w:t xml:space="preserve"/>
      </w:r>
    </w:p>
    <w:p>
      <w:pPr>
        <w:pStyle w:val="Heading1"/>
        <w:spacing w:after="140" w:before="320"/>
      </w:pPr>
      <w:r>
        <w:rPr>
          <w:rFonts w:ascii="Arial" w:cs="Arial" w:eastAsia="Arial" w:hAnsi="Arial"/>
          <w:b/>
          <w:bCs/>
          <w:color w:val="1F7A4D"/>
          <w:sz w:val="30"/>
          <w:szCs w:val="30"/>
        </w:rPr>
        <w:t xml:space="preserve">2. Objectives</w:t>
      </w:r>
    </w:p>
    <w:p>
      <w:pPr>
        <w:pStyle w:val="ListParagraph"/>
        <w:numPr>
          <w:ilvl w:val="0"/>
          <w:numId w:val="2"/>
        </w:numPr>
        <w:spacing w:after="60"/>
      </w:pPr>
      <w:r>
        <w:rPr>
          <w:rFonts w:ascii="Arial" w:cs="Arial" w:eastAsia="Arial" w:hAnsi="Arial"/>
          <w:sz w:val="21"/>
          <w:szCs w:val="21"/>
        </w:rPr>
        <w:t xml:space="preserve">Acquire and prepare real parcel geometries and supporting spatial layers.</w:t>
      </w:r>
    </w:p>
    <w:p>
      <w:pPr>
        <w:pStyle w:val="ListParagraph"/>
        <w:numPr>
          <w:ilvl w:val="0"/>
          <w:numId w:val="2"/>
        </w:numPr>
        <w:spacing w:after="60"/>
      </w:pPr>
      <w:r>
        <w:rPr>
          <w:rFonts w:ascii="Arial" w:cs="Arial" w:eastAsia="Arial" w:hAnsi="Arial"/>
          <w:sz w:val="21"/>
          <w:szCs w:val="21"/>
        </w:rPr>
        <w:t xml:space="preserve">Design and document the common Land Stack schema.</w:t>
      </w:r>
    </w:p>
    <w:p>
      <w:pPr>
        <w:pStyle w:val="ListParagraph"/>
        <w:numPr>
          <w:ilvl w:val="0"/>
          <w:numId w:val="2"/>
        </w:numPr>
        <w:spacing w:after="60"/>
      </w:pPr>
      <w:r>
        <w:rPr>
          <w:rFonts w:ascii="Arial" w:cs="Arial" w:eastAsia="Arial" w:hAnsi="Arial"/>
          <w:sz w:val="21"/>
          <w:szCs w:val="21"/>
        </w:rPr>
        <w:t xml:space="preserve">Simulate ULPIN generation and attach it to every parcel.</w:t>
      </w:r>
    </w:p>
    <w:p>
      <w:pPr>
        <w:pStyle w:val="ListParagraph"/>
        <w:numPr>
          <w:ilvl w:val="0"/>
          <w:numId w:val="2"/>
        </w:numPr>
        <w:spacing w:after="60"/>
      </w:pPr>
      <w:r>
        <w:rPr>
          <w:rFonts w:ascii="Arial" w:cs="Arial" w:eastAsia="Arial" w:hAnsi="Arial"/>
          <w:sz w:val="21"/>
          <w:szCs w:val="21"/>
        </w:rPr>
        <w:t xml:space="preserve">Generate realistic synthetic departmental data keyed on ULPIN.</w:t>
      </w:r>
    </w:p>
    <w:p>
      <w:pPr>
        <w:pStyle w:val="ListParagraph"/>
        <w:numPr>
          <w:ilvl w:val="0"/>
          <w:numId w:val="2"/>
        </w:numPr>
        <w:spacing w:after="60"/>
      </w:pPr>
      <w:r>
        <w:rPr>
          <w:rFonts w:ascii="Arial" w:cs="Arial" w:eastAsia="Arial" w:hAnsi="Arial"/>
          <w:sz w:val="21"/>
          <w:szCs w:val="21"/>
        </w:rPr>
        <w:t xml:space="preserve">Serve fast vector tiles and spatial queries.</w:t>
      </w:r>
    </w:p>
    <w:p>
      <w:pPr>
        <w:pStyle w:val="ListParagraph"/>
        <w:numPr>
          <w:ilvl w:val="0"/>
          <w:numId w:val="2"/>
        </w:numPr>
        <w:spacing w:after="60"/>
      </w:pPr>
      <w:r>
        <w:rPr>
          <w:rFonts w:ascii="Arial" w:cs="Arial" w:eastAsia="Arial" w:hAnsi="Arial"/>
          <w:sz w:val="21"/>
          <w:szCs w:val="21"/>
        </w:rPr>
        <w:t xml:space="preserve">Provide a mapping template so any state can map its data to the common schema.</w:t>
      </w:r>
    </w:p>
    <w:p>
      <w:pPr>
        <w:pStyle w:val="Heading1"/>
        <w:spacing w:after="140" w:before="320"/>
      </w:pPr>
      <w:r>
        <w:rPr>
          <w:rFonts w:ascii="Arial" w:cs="Arial" w:eastAsia="Arial" w:hAnsi="Arial"/>
          <w:b/>
          <w:bCs/>
          <w:color w:val="1F7A4D"/>
          <w:sz w:val="30"/>
          <w:szCs w:val="30"/>
        </w:rPr>
        <w:t xml:space="preserve">3. Scope</w:t>
      </w:r>
    </w:p>
    <w:p>
      <w:pPr>
        <w:pStyle w:val="Heading2"/>
        <w:spacing w:after="100" w:before="220"/>
      </w:pPr>
      <w:r>
        <w:rPr>
          <w:rFonts w:ascii="Arial" w:cs="Arial" w:eastAsia="Arial" w:hAnsi="Arial"/>
          <w:b/>
          <w:bCs/>
          <w:color w:val="1B2A22"/>
          <w:sz w:val="24"/>
          <w:szCs w:val="24"/>
        </w:rPr>
        <w:t xml:space="preserve">3.1 In scope</w:t>
      </w:r>
    </w:p>
    <w:p>
      <w:pPr>
        <w:pStyle w:val="ListParagraph"/>
        <w:numPr>
          <w:ilvl w:val="0"/>
          <w:numId w:val="2"/>
        </w:numPr>
        <w:spacing w:after="60"/>
      </w:pPr>
      <w:r>
        <w:rPr>
          <w:rFonts w:ascii="Arial" w:cs="Arial" w:eastAsia="Arial" w:hAnsi="Arial"/>
          <w:sz w:val="21"/>
          <w:szCs w:val="21"/>
        </w:rPr>
        <w:t xml:space="preserve">Dataset download, cleaning and validation</w:t>
      </w:r>
    </w:p>
    <w:p>
      <w:pPr>
        <w:pStyle w:val="ListParagraph"/>
        <w:numPr>
          <w:ilvl w:val="0"/>
          <w:numId w:val="2"/>
        </w:numPr>
        <w:spacing w:after="60"/>
      </w:pPr>
      <w:r>
        <w:rPr>
          <w:rFonts w:ascii="Arial" w:cs="Arial" w:eastAsia="Arial" w:hAnsi="Arial"/>
          <w:sz w:val="21"/>
          <w:szCs w:val="21"/>
        </w:rPr>
        <w:t xml:space="preserve">PostGIS schema, indexes, migrations</w:t>
      </w:r>
    </w:p>
    <w:p>
      <w:pPr>
        <w:pStyle w:val="ListParagraph"/>
        <w:numPr>
          <w:ilvl w:val="0"/>
          <w:numId w:val="2"/>
        </w:numPr>
        <w:spacing w:after="60"/>
      </w:pPr>
      <w:r>
        <w:rPr>
          <w:rFonts w:ascii="Arial" w:cs="Arial" w:eastAsia="Arial" w:hAnsi="Arial"/>
          <w:sz w:val="21"/>
          <w:szCs w:val="21"/>
        </w:rPr>
        <w:t xml:space="preserve">ULPIN simulation</w:t>
      </w:r>
    </w:p>
    <w:p>
      <w:pPr>
        <w:pStyle w:val="ListParagraph"/>
        <w:numPr>
          <w:ilvl w:val="0"/>
          <w:numId w:val="2"/>
        </w:numPr>
        <w:spacing w:after="60"/>
      </w:pPr>
      <w:r>
        <w:rPr>
          <w:rFonts w:ascii="Arial" w:cs="Arial" w:eastAsia="Arial" w:hAnsi="Arial"/>
          <w:sz w:val="21"/>
          <w:szCs w:val="21"/>
        </w:rPr>
        <w:t xml:space="preserve">Synthetic data generation</w:t>
      </w:r>
    </w:p>
    <w:p>
      <w:pPr>
        <w:pStyle w:val="ListParagraph"/>
        <w:numPr>
          <w:ilvl w:val="0"/>
          <w:numId w:val="2"/>
        </w:numPr>
        <w:spacing w:after="60"/>
      </w:pPr>
      <w:r>
        <w:rPr>
          <w:rFonts w:ascii="Arial" w:cs="Arial" w:eastAsia="Arial" w:hAnsi="Arial"/>
          <w:sz w:val="21"/>
          <w:szCs w:val="21"/>
        </w:rPr>
        <w:t xml:space="preserve">Tile server</w:t>
      </w:r>
    </w:p>
    <w:p>
      <w:pPr>
        <w:pStyle w:val="ListParagraph"/>
        <w:numPr>
          <w:ilvl w:val="0"/>
          <w:numId w:val="2"/>
        </w:numPr>
        <w:spacing w:after="60"/>
      </w:pPr>
      <w:r>
        <w:rPr>
          <w:rFonts w:ascii="Arial" w:cs="Arial" w:eastAsia="Arial" w:hAnsi="Arial"/>
          <w:sz w:val="21"/>
          <w:szCs w:val="21"/>
        </w:rPr>
        <w:t xml:space="preserve">Data quality checks and documentation</w:t>
      </w:r>
    </w:p>
    <w:p>
      <w:pPr>
        <w:pStyle w:val="Heading2"/>
        <w:spacing w:after="100" w:before="220"/>
      </w:pPr>
      <w:r>
        <w:rPr>
          <w:rFonts w:ascii="Arial" w:cs="Arial" w:eastAsia="Arial" w:hAnsi="Arial"/>
          <w:b/>
          <w:bCs/>
          <w:color w:val="1B2A22"/>
          <w:sz w:val="24"/>
          <w:szCs w:val="24"/>
        </w:rPr>
        <w:t xml:space="preserve">3.2 Out of scope</w:t>
      </w:r>
    </w:p>
    <w:p>
      <w:pPr>
        <w:pStyle w:val="ListParagraph"/>
        <w:numPr>
          <w:ilvl w:val="0"/>
          <w:numId w:val="2"/>
        </w:numPr>
        <w:spacing w:after="60"/>
      </w:pPr>
      <w:r>
        <w:rPr>
          <w:rFonts w:ascii="Arial" w:cs="Arial" w:eastAsia="Arial" w:hAnsi="Arial"/>
          <w:sz w:val="21"/>
          <w:szCs w:val="21"/>
        </w:rPr>
        <w:t xml:space="preserve">Business logic in APIs (Member 2)</w:t>
      </w:r>
    </w:p>
    <w:p>
      <w:pPr>
        <w:pStyle w:val="ListParagraph"/>
        <w:numPr>
          <w:ilvl w:val="0"/>
          <w:numId w:val="2"/>
        </w:numPr>
        <w:spacing w:after="60"/>
      </w:pPr>
      <w:r>
        <w:rPr>
          <w:rFonts w:ascii="Arial" w:cs="Arial" w:eastAsia="Arial" w:hAnsi="Arial"/>
          <w:sz w:val="21"/>
          <w:szCs w:val="21"/>
        </w:rPr>
        <w:t xml:space="preserve">Cloud hosting of the database (Member 6)</w:t>
      </w:r>
    </w:p>
    <w:p>
      <w:pPr>
        <w:pStyle w:val="ListParagraph"/>
        <w:numPr>
          <w:ilvl w:val="0"/>
          <w:numId w:val="2"/>
        </w:numPr>
        <w:spacing w:after="60"/>
      </w:pPr>
      <w:r>
        <w:rPr>
          <w:rFonts w:ascii="Arial" w:cs="Arial" w:eastAsia="Arial" w:hAnsi="Arial"/>
          <w:sz w:val="21"/>
          <w:szCs w:val="21"/>
        </w:rPr>
        <w:t xml:space="preserve">Model training (Member 5)</w:t>
      </w:r>
    </w:p>
    <w:p>
      <w:pPr>
        <w:pStyle w:val="Heading1"/>
        <w:spacing w:after="140" w:before="320"/>
      </w:pPr>
      <w:r>
        <w:rPr>
          <w:rFonts w:ascii="Arial" w:cs="Arial" w:eastAsia="Arial" w:hAnsi="Arial"/>
          <w:b/>
          <w:bCs/>
          <w:color w:val="1F7A4D"/>
          <w:sz w:val="30"/>
          <w:szCs w:val="30"/>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Area</w:t>
            </w:r>
          </w:p>
        </w:tc>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Tools / Technology</w:t>
            </w:r>
          </w:p>
        </w:tc>
        <w:tc>
          <w:tcPr>
            <w:tcW w:type="dxa" w:w="40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Database</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PostgreSQL + PostGIS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Spatial storage, indexes and queries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ETL</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GDAL/ogr2ogr, GeoPandas, Python</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Load, reproject and clean data</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Migrations</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Alembic or Flyway</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Versioned schema changes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Tiles</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Martin or pg_tileserv</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Vector tiles from PostGIS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data</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Faker, custom generators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Realistic mock records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QA</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Great Expectations or custom SQL checks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 validation</w:t>
            </w:r>
          </w:p>
        </w:tc>
      </w:tr>
    </w:tbl>
    <w:p>
      <w:pPr>
        <w:spacing w:after="120"/>
      </w:pPr>
    </w:p>
    <w:p>
      <w:pPr>
        <w:pStyle w:val="Heading1"/>
        <w:spacing w:after="140" w:before="320"/>
      </w:pPr>
      <w:r>
        <w:rPr>
          <w:rFonts w:ascii="Arial" w:cs="Arial" w:eastAsia="Arial" w:hAnsi="Arial"/>
          <w:b/>
          <w:bCs/>
          <w:color w:val="1F7A4D"/>
          <w:sz w:val="30"/>
          <w:szCs w:val="30"/>
        </w:rPr>
        <w:t xml:space="preserve">5. Modules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451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270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 acquisition</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Download Maharashtra parcel dataset, boundaries, roads, LULC</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Raw data archive with source log</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Cleaning and validation</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Fix invalid polygons, unify CRS, remove duplicates, check topology</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Cleaned parcel layer</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Common schema</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Tables for parcel, owner, RoR, registration, tax, encumbrance, permit, restriction, utility, audit</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Schema and ER diagram</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ULPIN simulation</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Generate 14-character alphanumeric IDs from parcel geometry and codes; verify uniqueness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ULPIN generator and table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data generator</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Owners, deeds, tax, mortgages and permits with realistic ranges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Seeded, repeatable data</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Tile service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Vector tiles with land-use attributes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Tile endpoint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Mapping template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Guide for mapping any state schema to the common schema</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Template document</w:t>
            </w:r>
          </w:p>
        </w:tc>
      </w:tr>
    </w:tbl>
    <w:p>
      <w:pPr>
        <w:spacing w:after="120"/>
      </w:pPr>
    </w:p>
    <w:p>
      <w:pPr>
        <w:pStyle w:val="Heading2"/>
        <w:spacing w:after="100" w:before="220"/>
      </w:pPr>
      <w:r>
        <w:rPr>
          <w:rFonts w:ascii="Arial" w:cs="Arial" w:eastAsia="Arial" w:hAnsi="Arial"/>
          <w:b/>
          <w:bCs/>
          <w:color w:val="1B2A22"/>
          <w:sz w:val="24"/>
          <w:szCs w:val="24"/>
        </w:rPr>
        <w:t xml:space="preserve">5.1 ULPIN note</w:t>
      </w:r>
    </w:p>
    <w:p>
      <w:pPr>
        <w:spacing w:after="120" w:line="276"/>
      </w:pPr>
      <w:r>
        <w:rPr>
          <w:rFonts w:ascii="Arial" w:cs="Arial" w:eastAsia="Arial" w:hAnsi="Arial"/>
          <w:sz w:val="21"/>
          <w:szCs w:val="21"/>
        </w:rPr>
        <w:t xml:space="preserve">ULPIN is not available as a bulk dataset, so it is simulated from real parcel geometry. The exact specification must be confirmed with DoLR before the prototype claims compliance. The generator must guarantee uniqueness and be deterministic.</w:t>
      </w:r>
    </w:p>
    <w:p>
      <w:pPr>
        <w:pStyle w:val="Heading2"/>
        <w:spacing w:after="100" w:before="220"/>
      </w:pPr>
      <w:r>
        <w:rPr>
          <w:rFonts w:ascii="Arial" w:cs="Arial" w:eastAsia="Arial" w:hAnsi="Arial"/>
          <w:b/>
          <w:bCs/>
          <w:color w:val="1B2A22"/>
          <w:sz w:val="24"/>
          <w:szCs w:val="24"/>
        </w:rPr>
        <w:t xml:space="preserve">5.2 Data handling rules</w:t>
      </w:r>
    </w:p>
    <w:p>
      <w:pPr>
        <w:pStyle w:val="ListParagraph"/>
        <w:numPr>
          <w:ilvl w:val="0"/>
          <w:numId w:val="2"/>
        </w:numPr>
        <w:spacing w:after="60"/>
      </w:pPr>
      <w:r>
        <w:rPr>
          <w:rFonts w:ascii="Arial" w:cs="Arial" w:eastAsia="Arial" w:hAnsi="Arial"/>
          <w:sz w:val="21"/>
          <w:szCs w:val="21"/>
        </w:rPr>
        <w:t xml:space="preserve">Use real data only for spatial layers (geometry, imagery, land use).</w:t>
      </w:r>
    </w:p>
    <w:p>
      <w:pPr>
        <w:pStyle w:val="ListParagraph"/>
        <w:numPr>
          <w:ilvl w:val="0"/>
          <w:numId w:val="2"/>
        </w:numPr>
        <w:spacing w:after="60"/>
      </w:pPr>
      <w:r>
        <w:rPr>
          <w:rFonts w:ascii="Arial" w:cs="Arial" w:eastAsia="Arial" w:hAnsi="Arial"/>
          <w:sz w:val="21"/>
          <w:szCs w:val="21"/>
        </w:rPr>
        <w:t xml:space="preserve">Keep owner names, tax and mortgage data fully synthetic.</w:t>
      </w:r>
    </w:p>
    <w:p>
      <w:pPr>
        <w:pStyle w:val="ListParagraph"/>
        <w:numPr>
          <w:ilvl w:val="0"/>
          <w:numId w:val="2"/>
        </w:numPr>
        <w:spacing w:after="60"/>
      </w:pPr>
      <w:r>
        <w:rPr>
          <w:rFonts w:ascii="Arial" w:cs="Arial" w:eastAsia="Arial" w:hAnsi="Arial"/>
          <w:sz w:val="21"/>
          <w:szCs w:val="21"/>
        </w:rPr>
        <w:t xml:space="preserve">Record the licence and source of each dataset (ODbL, Government Open Data License).</w:t>
      </w:r>
    </w:p>
    <w:p>
      <w:pPr>
        <w:pStyle w:val="ListParagraph"/>
        <w:numPr>
          <w:ilvl w:val="0"/>
          <w:numId w:val="2"/>
        </w:numPr>
        <w:spacing w:after="60"/>
      </w:pPr>
      <w:r>
        <w:rPr>
          <w:rFonts w:ascii="Arial" w:cs="Arial" w:eastAsia="Arial" w:hAnsi="Arial"/>
          <w:sz w:val="21"/>
          <w:szCs w:val="21"/>
        </w:rPr>
        <w:t xml:space="preserve">Use one storage CRS and document it; index geometries with GiST.</w:t>
      </w:r>
    </w:p>
    <w:p>
      <w:pPr>
        <w:pStyle w:val="Heading1"/>
        <w:spacing w:after="140" w:before="320"/>
      </w:pPr>
      <w:r>
        <w:rPr>
          <w:rFonts w:ascii="Arial" w:cs="Arial" w:eastAsia="Arial" w:hAnsi="Arial"/>
          <w:b/>
          <w:bCs/>
          <w:color w:val="1F7A4D"/>
          <w:sz w:val="30"/>
          <w:szCs w:val="30"/>
        </w:rPr>
        <w:t xml:space="preserve">6.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Dataset</w:t>
            </w:r>
          </w:p>
        </w:tc>
        <w:tc>
          <w:tcPr>
            <w:tcW w:type="dxa" w:w="601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How it is used in this role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Maharashtra Bhu-Naksha (Hugging Face, ODbL)</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Primary parcel geometry and survey metadata (about 721,620 rural parcels)</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NAKSHA pilot shapefiles (DoLR)</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Urban parcel layer if available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data.gov.in GIS datasets</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Administrative boundaries and DILRMP statistics</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PMGSY GeoSadak</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Roads and habitations</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NASA SEDAC LULC</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Baseline land-use raster and attributes</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Kaggle real-estate and agriculture data</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Patterns for synthetic prices, transactions and crop attributes</w:t>
            </w:r>
          </w:p>
        </w:tc>
      </w:tr>
    </w:tbl>
    <w:p>
      <w:pPr>
        <w:spacing w:after="120"/>
      </w:pPr>
    </w:p>
    <w:p>
      <w:pPr>
        <w:pStyle w:val="Heading1"/>
        <w:spacing w:after="140" w:before="320"/>
      </w:pPr>
      <w:r>
        <w:rPr>
          <w:rFonts w:ascii="Arial" w:cs="Arial" w:eastAsia="Arial" w:hAnsi="Arial"/>
          <w:b/>
          <w:bCs/>
          <w:color w:val="1F7A4D"/>
          <w:sz w:val="30"/>
          <w:szCs w:val="30"/>
        </w:rPr>
        <w:t xml:space="preserve">7. Interfaces with Other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With</w:t>
            </w:r>
          </w:p>
        </w:tc>
        <w:tc>
          <w:tcPr>
            <w:tcW w:type="dxa" w:w="3610"/>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provides</w:t>
            </w:r>
          </w:p>
        </w:tc>
        <w:tc>
          <w:tcPr>
            <w:tcW w:type="dxa" w:w="36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needs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1 (Frontend)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Vector tile endpoint, parcel attributes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Style and attribute requirements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2 (Backend)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Common schema, ULPIN table, indexed queries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Query needs and mapping rules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4 (Security/Officer)</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Audit and workflow tables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 and workflow data requirements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5 (AI/ML)</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polygons, boundaries, permit layer for alert matching</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results written back as spatial records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6 (Cloud)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Backup and sizing needs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Managed PostGIS environment, storage and backups</w:t>
            </w:r>
          </w:p>
        </w:tc>
      </w:tr>
    </w:tbl>
    <w:p>
      <w:pPr>
        <w:spacing w:after="120"/>
      </w:pPr>
    </w:p>
    <w:p>
      <w:pPr>
        <w:pStyle w:val="Heading1"/>
        <w:spacing w:after="140" w:before="320"/>
      </w:pPr>
      <w:r>
        <w:rPr>
          <w:rFonts w:ascii="Arial" w:cs="Arial" w:eastAsia="Arial" w:hAnsi="Arial"/>
          <w:b/>
          <w:bCs/>
          <w:color w:val="1F7A4D"/>
          <w:sz w:val="30"/>
          <w:szCs w:val="30"/>
        </w:rPr>
        <w:t xml:space="preserve">8.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631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90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Weeks</w:t>
            </w:r>
          </w:p>
        </w:tc>
        <w:tc>
          <w:tcPr>
            <w:tcW w:type="dxa" w:w="631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Tasks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Acquire</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1-4</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Download datasets, log sources and licences, explore quality</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Schema</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4-6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Common schema, ER diagram, ULPIN design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Load and clean</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7-9</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ETL scripts, validation, PostGIS load, spatial indexes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data</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8-11</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Generators for all departmental tables, seeded and repeatable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Tiles</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10-12</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Tile server, performance tuning</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Support and document</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13-18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 quality report, mapping template, schema documentation</w:t>
            </w:r>
          </w:p>
        </w:tc>
      </w:tr>
    </w:tbl>
    <w:p>
      <w:pPr>
        <w:spacing w:after="120"/>
      </w:pPr>
    </w:p>
    <w:p>
      <w:pPr>
        <w:pStyle w:val="Heading1"/>
        <w:spacing w:after="140" w:before="320"/>
      </w:pPr>
      <w:r>
        <w:rPr>
          <w:rFonts w:ascii="Arial" w:cs="Arial" w:eastAsia="Arial" w:hAnsi="Arial"/>
          <w:b/>
          <w:bCs/>
          <w:color w:val="1F7A4D"/>
          <w:sz w:val="30"/>
          <w:szCs w:val="30"/>
        </w:rPr>
        <w:t xml:space="preserve">9. Acceptance Criteria</w:t>
      </w:r>
    </w:p>
    <w:p>
      <w:pPr>
        <w:pStyle w:val="ListParagraph"/>
        <w:numPr>
          <w:ilvl w:val="0"/>
          <w:numId w:val="2"/>
        </w:numPr>
        <w:spacing w:after="60"/>
      </w:pPr>
      <w:r>
        <w:rPr>
          <w:rFonts w:ascii="Arial" w:cs="Arial" w:eastAsia="Arial" w:hAnsi="Arial"/>
          <w:sz w:val="21"/>
          <w:szCs w:val="21"/>
        </w:rPr>
        <w:t xml:space="preserve">All parcels have valid geometry and a unique ULPIN.</w:t>
      </w:r>
    </w:p>
    <w:p>
      <w:pPr>
        <w:pStyle w:val="ListParagraph"/>
        <w:numPr>
          <w:ilvl w:val="0"/>
          <w:numId w:val="2"/>
        </w:numPr>
        <w:spacing w:after="60"/>
      </w:pPr>
      <w:r>
        <w:rPr>
          <w:rFonts w:ascii="Arial" w:cs="Arial" w:eastAsia="Arial" w:hAnsi="Arial"/>
          <w:sz w:val="21"/>
          <w:szCs w:val="21"/>
        </w:rPr>
        <w:t xml:space="preserve">Schema is documented with an ER diagram and data dictionary.</w:t>
      </w:r>
    </w:p>
    <w:p>
      <w:pPr>
        <w:pStyle w:val="ListParagraph"/>
        <w:numPr>
          <w:ilvl w:val="0"/>
          <w:numId w:val="2"/>
        </w:numPr>
        <w:spacing w:after="60"/>
      </w:pPr>
      <w:r>
        <w:rPr>
          <w:rFonts w:ascii="Arial" w:cs="Arial" w:eastAsia="Arial" w:hAnsi="Arial"/>
          <w:sz w:val="21"/>
          <w:szCs w:val="21"/>
        </w:rPr>
        <w:t xml:space="preserve">Synthetic data is reproducible from a seed.</w:t>
      </w:r>
    </w:p>
    <w:p>
      <w:pPr>
        <w:pStyle w:val="ListParagraph"/>
        <w:numPr>
          <w:ilvl w:val="0"/>
          <w:numId w:val="2"/>
        </w:numPr>
        <w:spacing w:after="60"/>
      </w:pPr>
      <w:r>
        <w:rPr>
          <w:rFonts w:ascii="Arial" w:cs="Arial" w:eastAsia="Arial" w:hAnsi="Arial"/>
          <w:sz w:val="21"/>
          <w:szCs w:val="21"/>
        </w:rPr>
        <w:t xml:space="preserve">Vector tiles serve at interactive speed at district zoom levels.</w:t>
      </w:r>
    </w:p>
    <w:p>
      <w:pPr>
        <w:pStyle w:val="ListParagraph"/>
        <w:numPr>
          <w:ilvl w:val="0"/>
          <w:numId w:val="2"/>
        </w:numPr>
        <w:spacing w:after="60"/>
      </w:pPr>
      <w:r>
        <w:rPr>
          <w:rFonts w:ascii="Arial" w:cs="Arial" w:eastAsia="Arial" w:hAnsi="Arial"/>
          <w:sz w:val="21"/>
          <w:szCs w:val="21"/>
        </w:rPr>
        <w:t xml:space="preserve">Data quality report lists checks and results.</w:t>
      </w:r>
    </w:p>
    <w:p>
      <w:pPr>
        <w:pStyle w:val="Heading1"/>
        <w:spacing w:after="140" w:before="320"/>
      </w:pPr>
      <w:r>
        <w:rPr>
          <w:rFonts w:ascii="Arial" w:cs="Arial" w:eastAsia="Arial" w:hAnsi="Arial"/>
          <w:b/>
          <w:bCs/>
          <w:color w:val="1F7A4D"/>
          <w:sz w:val="30"/>
          <w:szCs w:val="30"/>
        </w:rPr>
        <w:t xml:space="preserve">10.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5014"/>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Dataset unavailable or licence unclear</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Confirm licences early and keep a fallback dataset</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Invalid or overlapping geometries</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Automated topology checks and repair rules</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Slow queries at large scale</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Spatial indexes, tiling, partitioning by district</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Real personal data leaking into mock data</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Generate owner data synthetically only</w:t>
            </w:r>
          </w:p>
        </w:tc>
      </w:tr>
    </w:tbl>
    <w:p>
      <w:pPr>
        <w:spacing w:after="120"/>
      </w:pPr>
    </w:p>
    <w:p>
      <w:pPr>
        <w:pStyle w:val="Heading1"/>
        <w:spacing w:after="140" w:before="320"/>
      </w:pPr>
      <w:r>
        <w:rPr>
          <w:rFonts w:ascii="Arial" w:cs="Arial" w:eastAsia="Arial" w:hAnsi="Arial"/>
          <w:b/>
          <w:bCs/>
          <w:color w:val="1F7A4D"/>
          <w:sz w:val="30"/>
          <w:szCs w:val="30"/>
        </w:rPr>
        <w:t xml:space="preserve">11. Contribution to Project Goals</w:t>
      </w:r>
    </w:p>
    <w:p>
      <w:pPr>
        <w:spacing w:after="120" w:line="276"/>
      </w:pPr>
      <w:r>
        <w:rPr>
          <w:rFonts w:ascii="Arial" w:cs="Arial" w:eastAsia="Arial" w:hAnsi="Arial"/>
          <w:sz w:val="21"/>
          <w:szCs w:val="21"/>
        </w:rPr>
        <w:t xml:space="preserve">The database and standard schema are the foundation of parcel-centric integration. They enable the common data model deliverable and support SDG 16.6 (consistent, auditable records), SDG 9.1 (reusable data infrastructure) and SDG 17.18 (data availability).</w:t>
      </w:r>
    </w:p>
    <w:p>
      <w:pPr>
        <w:pStyle w:val="Heading1"/>
        <w:spacing w:after="140" w:before="320"/>
      </w:pPr>
      <w:r>
        <w:rPr>
          <w:rFonts w:ascii="Arial" w:cs="Arial" w:eastAsia="Arial" w:hAnsi="Arial"/>
          <w:b/>
          <w:bCs/>
          <w:color w:val="1F7A4D"/>
          <w:sz w:val="30"/>
          <w:szCs w:val="30"/>
        </w:rPr>
        <w:t xml:space="preserve">12. Skills and Learning Outcomes</w:t>
      </w:r>
    </w:p>
    <w:p>
      <w:pPr>
        <w:pStyle w:val="ListParagraph"/>
        <w:numPr>
          <w:ilvl w:val="0"/>
          <w:numId w:val="2"/>
        </w:numPr>
        <w:spacing w:after="60"/>
      </w:pPr>
      <w:r>
        <w:rPr>
          <w:rFonts w:ascii="Arial" w:cs="Arial" w:eastAsia="Arial" w:hAnsi="Arial"/>
          <w:sz w:val="21"/>
          <w:szCs w:val="21"/>
        </w:rPr>
        <w:t xml:space="preserve">PostGIS and spatial SQL</w:t>
      </w:r>
    </w:p>
    <w:p>
      <w:pPr>
        <w:pStyle w:val="ListParagraph"/>
        <w:numPr>
          <w:ilvl w:val="0"/>
          <w:numId w:val="2"/>
        </w:numPr>
        <w:spacing w:after="60"/>
      </w:pPr>
      <w:r>
        <w:rPr>
          <w:rFonts w:ascii="Arial" w:cs="Arial" w:eastAsia="Arial" w:hAnsi="Arial"/>
          <w:sz w:val="21"/>
          <w:szCs w:val="21"/>
        </w:rPr>
        <w:t xml:space="preserve">ETL and data quality</w:t>
      </w:r>
    </w:p>
    <w:p>
      <w:pPr>
        <w:pStyle w:val="ListParagraph"/>
        <w:numPr>
          <w:ilvl w:val="0"/>
          <w:numId w:val="2"/>
        </w:numPr>
        <w:spacing w:after="60"/>
      </w:pPr>
      <w:r>
        <w:rPr>
          <w:rFonts w:ascii="Arial" w:cs="Arial" w:eastAsia="Arial" w:hAnsi="Arial"/>
          <w:sz w:val="21"/>
          <w:szCs w:val="21"/>
        </w:rPr>
        <w:t xml:space="preserve">Schema design and interoperability</w:t>
      </w:r>
    </w:p>
    <w:p>
      <w:pPr>
        <w:pStyle w:val="ListParagraph"/>
        <w:numPr>
          <w:ilvl w:val="0"/>
          <w:numId w:val="2"/>
        </w:numPr>
        <w:spacing w:after="60"/>
      </w:pPr>
      <w:r>
        <w:rPr>
          <w:rFonts w:ascii="Arial" w:cs="Arial" w:eastAsia="Arial" w:hAnsi="Arial"/>
          <w:sz w:val="21"/>
          <w:szCs w:val="21"/>
        </w:rPr>
        <w:t xml:space="preserve">Vector tile serving</w:t>
      </w:r>
    </w:p>
    <w:p>
      <w:pPr>
        <w:pStyle w:val="Heading1"/>
        <w:spacing w:after="140" w:before="320"/>
      </w:pPr>
      <w:r>
        <w:rPr>
          <w:rFonts w:ascii="Arial" w:cs="Arial" w:eastAsia="Arial" w:hAnsi="Arial"/>
          <w:b/>
          <w:bCs/>
          <w:color w:val="1F7A4D"/>
          <w:sz w:val="30"/>
          <w:szCs w:val="30"/>
        </w:rPr>
        <w:t xml:space="preserve">References</w:t>
      </w:r>
    </w:p>
    <w:p>
      <w:pPr>
        <w:pStyle w:val="ListParagraph"/>
        <w:numPr>
          <w:ilvl w:val="0"/>
          <w:numId w:val="2"/>
        </w:numPr>
        <w:spacing w:after="60"/>
      </w:pPr>
      <w:r>
        <w:rPr>
          <w:rFonts w:ascii="Arial" w:cs="Arial" w:eastAsia="Arial" w:hAnsi="Arial"/>
          <w:sz w:val="21"/>
          <w:szCs w:val="21"/>
        </w:rPr>
        <w:t xml:space="preserve">PIB (May 2026), Land Stack Initiative to Usher in Transparent and Citizen-Centric Land Management. https://www.pib.gov.in/PressReleasePage.aspx?PRID=2259050</w:t>
      </w:r>
    </w:p>
    <w:p>
      <w:pPr>
        <w:pStyle w:val="ListParagraph"/>
        <w:numPr>
          <w:ilvl w:val="0"/>
          <w:numId w:val="2"/>
        </w:numPr>
        <w:spacing w:after="60"/>
      </w:pPr>
      <w:r>
        <w:rPr>
          <w:rFonts w:ascii="Arial" w:cs="Arial" w:eastAsia="Arial" w:hAnsi="Arial"/>
          <w:sz w:val="21"/>
          <w:szCs w:val="21"/>
        </w:rPr>
        <w:t xml:space="preserve">PIB (Dec 2025), National Symposium on Naksha and LandStack. https://www.pib.gov.in/PressReleasePage.aspx?PRID=2197439</w:t>
      </w:r>
    </w:p>
    <w:p>
      <w:pPr>
        <w:pStyle w:val="ListParagraph"/>
        <w:numPr>
          <w:ilvl w:val="0"/>
          <w:numId w:val="2"/>
        </w:numPr>
        <w:spacing w:after="60"/>
      </w:pPr>
      <w:r>
        <w:rPr>
          <w:rFonts w:ascii="Arial" w:cs="Arial" w:eastAsia="Arial" w:hAnsi="Arial"/>
          <w:sz w:val="21"/>
          <w:szCs w:val="21"/>
        </w:rPr>
        <w:t xml:space="preserve">PIB (Sept 2026), Operational Guidelines for DILRMP 3.0. https://www.pib.gov.in/PressReleaseIframePage.aspx?PRID=2308504</w:t>
      </w:r>
    </w:p>
    <w:p>
      <w:pPr>
        <w:pStyle w:val="ListParagraph"/>
        <w:numPr>
          <w:ilvl w:val="0"/>
          <w:numId w:val="2"/>
        </w:numPr>
        <w:spacing w:after="60"/>
      </w:pPr>
      <w:r>
        <w:rPr>
          <w:rFonts w:ascii="Arial" w:cs="Arial" w:eastAsia="Arial" w:hAnsi="Arial"/>
          <w:sz w:val="21"/>
          <w:szCs w:val="21"/>
        </w:rPr>
        <w:t xml:space="preserve">PIB (May 2026), Land Stack as next layer of Digital Public Infrastructure. https://www.pib.gov.in/PressReleasePage.aspx?PRID=2263740</w:t>
      </w:r>
    </w:p>
    <w:p>
      <w:pPr>
        <w:pStyle w:val="ListParagraph"/>
        <w:numPr>
          <w:ilvl w:val="0"/>
          <w:numId w:val="2"/>
        </w:numPr>
        <w:spacing w:after="60"/>
      </w:pPr>
      <w:r>
        <w:rPr>
          <w:rFonts w:ascii="Arial" w:cs="Arial" w:eastAsia="Arial" w:hAnsi="Arial"/>
          <w:sz w:val="21"/>
          <w:szCs w:val="21"/>
        </w:rPr>
        <w:t xml:space="preserve">PIB (Aug 2026), Bharat Land Stack and Bhu-Aadhaar. https://www.pib.gov.in/PressReleasePage.aspx?PRID=2303882</w:t>
      </w:r>
    </w:p>
    <w:p>
      <w:pPr>
        <w:pStyle w:val="ListParagraph"/>
        <w:numPr>
          <w:ilvl w:val="0"/>
          <w:numId w:val="2"/>
        </w:numPr>
        <w:spacing w:after="60"/>
      </w:pPr>
      <w:r>
        <w:rPr>
          <w:rFonts w:ascii="Arial" w:cs="Arial" w:eastAsia="Arial" w:hAnsi="Arial"/>
          <w:sz w:val="21"/>
          <w:szCs w:val="21"/>
        </w:rPr>
        <w:t xml:space="preserve">DoLR, DILRMP / ULPIN page. https://dolr.gov.in/en/department-of-land-resources-govt-of-india-is-implementing-digital-india-land-records-modernization-program-through-state-ut-governments/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56C"/>
        <w:sz w:val="16"/>
        <w:szCs w:val="16"/>
      </w:rPr>
      <w:t xml:space="preserve">Page </w:t>
    </w:r>
    <w:r>
      <w:rPr>
        <w:rFonts w:ascii="Arial" w:cs="Arial" w:eastAsia="Arial" w:hAnsi="Arial"/>
        <w:color w:val="667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756C"/>
        <w:sz w:val="16"/>
        <w:szCs w:val="16"/>
      </w:rPr>
      <w:t xml:space="preserve">Land Stack | Report 3: Geospatial Database and Data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2026-09-29T07:30:31.008Z</dcterms:created>
  <dcterms:modified xsi:type="dcterms:W3CDTF">2026-09-29T07:30:31.008Z</dcterms:modified>
</cp:coreProperties>
</file>

<file path=docProps/custom.xml><?xml version="1.0" encoding="utf-8"?>
<Properties xmlns="http://schemas.openxmlformats.org/officeDocument/2006/custom-properties" xmlns:vt="http://schemas.openxmlformats.org/officeDocument/2006/docPropsVTypes"/>
</file>