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Arial" w:cs="Arial" w:eastAsia="Arial" w:hAnsi="Arial"/>
          <w:b/>
          <w:bCs/>
          <w:color w:val="1F7A4D"/>
          <w:spacing w:val="60"/>
          <w:sz w:val="24"/>
          <w:szCs w:val="24"/>
        </w:rPr>
        <w:t xml:space="preserve">LAND STACK</w:t>
      </w:r>
    </w:p>
    <w:p>
      <w:pPr>
        <w:spacing w:after="200"/>
      </w:pPr>
      <w:r>
        <w:rPr>
          <w:rFonts w:ascii="Arial" w:cs="Arial" w:eastAsia="Arial" w:hAnsi="Arial"/>
          <w:b/>
          <w:bCs/>
          <w:sz w:val="46"/>
          <w:szCs w:val="46"/>
        </w:rPr>
        <w:t xml:space="preserve">Report 5: Geospatial AI/ML Analytics</w:t>
      </w:r>
    </w:p>
    <w:p>
      <w:pPr>
        <w:pBdr>
          <w:bottom w:val="single" w:color="1F7A4D" w:sz="12" w:space="8"/>
        </w:pBdr>
        <w:spacing w:after="600"/>
      </w:pPr>
      <w:r>
        <w:rPr>
          <w:rFonts w:ascii="Arial" w:cs="Arial" w:eastAsia="Arial" w:hAnsi="Arial"/>
          <w:color w:val="66756C"/>
          <w:sz w:val="24"/>
          <w:szCs w:val="24"/>
        </w:rPr>
        <w:t xml:space="preserve">AI/ML track, Member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Item</w:t>
            </w:r>
          </w:p>
        </w:tc>
        <w:tc>
          <w:tcPr>
            <w:tcW w:type="dxa" w:w="6447"/>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Detail</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Project</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Land Stack: Integrated GIS-Based Digital Public Infrastructure for Land Governance</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Team member</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5 (AI/ML)</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Role</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Geospatial AI Analytics</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Nature</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Applied Research + Software Development + GIS-Based Prototype</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Current TRL / target</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TRL 2 / TRL 4</w:t>
            </w:r>
          </w:p>
        </w:tc>
      </w:tr>
      <w:tr>
        <w:tc>
          <w:tcPr>
            <w:tcW w:type="dxa" w:w="257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Duration</w:t>
            </w:r>
          </w:p>
        </w:tc>
        <w:tc>
          <w:tcPr>
            <w:tcW w:type="dxa" w:w="644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18 weeks</w:t>
            </w:r>
          </w:p>
        </w:tc>
      </w:tr>
    </w:tbl>
    <w:p>
      <w:pPr>
        <w:spacing w:after="120"/>
      </w:pPr>
    </w:p>
    <w:p>
      <w:r>
        <w:br w:type="page"/>
      </w:r>
    </w:p>
    <w:p>
      <w:pPr>
        <w:pStyle w:val="Heading1"/>
        <w:spacing w:after="140" w:before="320"/>
      </w:pPr>
      <w:r>
        <w:rPr>
          <w:rFonts w:ascii="Arial" w:cs="Arial" w:eastAsia="Arial" w:hAnsi="Arial"/>
          <w:b/>
          <w:bCs/>
          <w:color w:val="1F7A4D"/>
          <w:sz w:val="30"/>
          <w:szCs w:val="30"/>
        </w:rPr>
        <w:t xml:space="preserve">1. Role Overview</w:t>
      </w:r>
    </w:p>
    <w:p>
      <w:pPr>
        <w:spacing w:after="120" w:line="276"/>
      </w:pPr>
      <w:r>
        <w:rPr>
          <w:rFonts w:ascii="Arial" w:cs="Arial" w:eastAsia="Arial" w:hAnsi="Arial"/>
          <w:sz w:val="21"/>
          <w:szCs w:val="21"/>
        </w:rPr>
        <w:t xml:space="preserve">Member 5 builds the decision-support intelligence: detecting change in satellite imagery, flagging possible unauthorized construction and land-use change, and producing spatial risk indicators. The AI outputs are alerts for officers to verify, never automatic decisions.</w:t>
      </w:r>
    </w:p>
    <w:p>
      <w:pPr>
        <w:pStyle w:val="Heading2"/>
        <w:spacing w:after="100" w:before="220"/>
      </w:pPr>
      <w:r>
        <w:rPr>
          <w:rFonts w:ascii="Arial" w:cs="Arial" w:eastAsia="Arial" w:hAnsi="Arial"/>
          <w:b/>
          <w:bCs/>
          <w:color w:val="1B2A22"/>
          <w:sz w:val="24"/>
          <w:szCs w:val="24"/>
        </w:rPr>
        <w:t xml:space="preserve">1.1 Position in the project</w:t>
      </w:r>
    </w:p>
    <w:p>
      <w:pPr>
        <w:shd w:fill="F1F4F2" w:color="auto" w:val="clear"/>
        <w:spacing w:after="0"/>
      </w:pPr>
      <w:r>
        <w:rPr>
          <w:rFonts w:ascii="Courier New" w:cs="Courier New" w:eastAsia="Courier New" w:hAnsi="Courier New"/>
          <w:sz w:val="14"/>
          <w:szCs w:val="14"/>
        </w:rPr>
        <w:t xml:space="preserve">Satellite imagery + LULC + parcels + permits</w:t>
      </w:r>
    </w:p>
    <w:p>
      <w:pPr>
        <w:shd w:fill="F1F4F2" w:color="auto" w:val="clear"/>
        <w:spacing w:after="0"/>
      </w:pPr>
      <w:r>
        <w:rPr>
          <w:rFonts w:ascii="Courier New" w:cs="Courier New" w:eastAsia="Courier New" w:hAnsi="Courier New"/>
          <w:sz w:val="14"/>
          <w:szCs w:val="14"/>
        </w:rPr>
        <w:t xml:space="preserve">        |</w:t>
      </w:r>
    </w:p>
    <w:p>
      <w:pPr>
        <w:shd w:fill="F1F4F2" w:color="auto" w:val="clear"/>
        <w:spacing w:after="0"/>
      </w:pPr>
      <w:r>
        <w:rPr>
          <w:rFonts w:ascii="Courier New" w:cs="Courier New" w:eastAsia="Courier New" w:hAnsi="Courier New"/>
          <w:sz w:val="14"/>
          <w:szCs w:val="14"/>
        </w:rPr>
        <w:t xml:space="preserve"> [ Preprocessing ] --&gt; [ Change detection model ] --&gt; [ Alert matching: permits + parcels ]</w:t>
      </w:r>
    </w:p>
    <w:p>
      <w:pPr>
        <w:shd w:fill="F1F4F2" w:color="auto" w:val="clear"/>
        <w:spacing w:after="0"/>
      </w:pPr>
      <w:r>
        <w:rPr>
          <w:rFonts w:ascii="Courier New" w:cs="Courier New" w:eastAsia="Courier New" w:hAnsi="Courier New"/>
          <w:sz w:val="14"/>
          <w:szCs w:val="14"/>
        </w:rPr>
        <w:t xml:space="preserve">        |</w:t>
      </w:r>
    </w:p>
    <w:p>
      <w:pPr>
        <w:shd w:fill="F1F4F2" w:color="auto" w:val="clear"/>
        <w:spacing w:after="0"/>
      </w:pPr>
      <w:r>
        <w:rPr>
          <w:rFonts w:ascii="Courier New" w:cs="Courier New" w:eastAsia="Courier New" w:hAnsi="Courier New"/>
          <w:sz w:val="14"/>
          <w:szCs w:val="14"/>
        </w:rPr>
        <w:t xml:space="preserve"> Alerts (GeoJSON) --&gt; Database (M3) --&gt; APIs (M2) --&gt; Officer Dashboard (M4)</w:t>
      </w:r>
    </w:p>
    <w:p>
      <w:pPr>
        <w:spacing w:after="120" w:line="276"/>
      </w:pPr>
      <w:r>
        <w:rPr>
          <w:rFonts w:ascii="Arial" w:cs="Arial" w:eastAsia="Arial" w:hAnsi="Arial"/>
          <w:sz w:val="21"/>
          <w:szCs w:val="21"/>
        </w:rPr>
        <w:t xml:space="preserve"/>
      </w:r>
    </w:p>
    <w:p>
      <w:pPr>
        <w:pStyle w:val="Heading1"/>
        <w:spacing w:after="140" w:before="320"/>
      </w:pPr>
      <w:r>
        <w:rPr>
          <w:rFonts w:ascii="Arial" w:cs="Arial" w:eastAsia="Arial" w:hAnsi="Arial"/>
          <w:b/>
          <w:bCs/>
          <w:color w:val="1F7A4D"/>
          <w:sz w:val="30"/>
          <w:szCs w:val="30"/>
        </w:rPr>
        <w:t xml:space="preserve">2. Objectives</w:t>
      </w:r>
    </w:p>
    <w:p>
      <w:pPr>
        <w:pStyle w:val="ListParagraph"/>
        <w:numPr>
          <w:ilvl w:val="0"/>
          <w:numId w:val="2"/>
        </w:numPr>
        <w:spacing w:after="60"/>
      </w:pPr>
      <w:r>
        <w:rPr>
          <w:rFonts w:ascii="Arial" w:cs="Arial" w:eastAsia="Arial" w:hAnsi="Arial"/>
          <w:sz w:val="21"/>
          <w:szCs w:val="21"/>
        </w:rPr>
        <w:t xml:space="preserve">Train and evaluate a building/land change detection model on bi-temporal imagery.</w:t>
      </w:r>
    </w:p>
    <w:p>
      <w:pPr>
        <w:pStyle w:val="ListParagraph"/>
        <w:numPr>
          <w:ilvl w:val="0"/>
          <w:numId w:val="2"/>
        </w:numPr>
        <w:spacing w:after="60"/>
      </w:pPr>
      <w:r>
        <w:rPr>
          <w:rFonts w:ascii="Arial" w:cs="Arial" w:eastAsia="Arial" w:hAnsi="Arial"/>
          <w:sz w:val="21"/>
          <w:szCs w:val="21"/>
        </w:rPr>
        <w:t xml:space="preserve">Detect possible unauthorized construction by matching detected change to parcels and building permissions.</w:t>
      </w:r>
    </w:p>
    <w:p>
      <w:pPr>
        <w:pStyle w:val="ListParagraph"/>
        <w:numPr>
          <w:ilvl w:val="0"/>
          <w:numId w:val="2"/>
        </w:numPr>
        <w:spacing w:after="60"/>
      </w:pPr>
      <w:r>
        <w:rPr>
          <w:rFonts w:ascii="Arial" w:cs="Arial" w:eastAsia="Arial" w:hAnsi="Arial"/>
          <w:sz w:val="21"/>
          <w:szCs w:val="21"/>
        </w:rPr>
        <w:t xml:space="preserve">Detect land-use change by comparing land-cover classes over time.</w:t>
      </w:r>
    </w:p>
    <w:p>
      <w:pPr>
        <w:pStyle w:val="ListParagraph"/>
        <w:numPr>
          <w:ilvl w:val="0"/>
          <w:numId w:val="2"/>
        </w:numPr>
        <w:spacing w:after="60"/>
      </w:pPr>
      <w:r>
        <w:rPr>
          <w:rFonts w:ascii="Arial" w:cs="Arial" w:eastAsia="Arial" w:hAnsi="Arial"/>
          <w:sz w:val="21"/>
          <w:szCs w:val="21"/>
        </w:rPr>
        <w:t xml:space="preserve">Produce spatial risk indicators (for example flood-prone or restricted-zone exposure).</w:t>
      </w:r>
    </w:p>
    <w:p>
      <w:pPr>
        <w:pStyle w:val="ListParagraph"/>
        <w:numPr>
          <w:ilvl w:val="0"/>
          <w:numId w:val="2"/>
        </w:numPr>
        <w:spacing w:after="60"/>
      </w:pPr>
      <w:r>
        <w:rPr>
          <w:rFonts w:ascii="Arial" w:cs="Arial" w:eastAsia="Arial" w:hAnsi="Arial"/>
          <w:sz w:val="21"/>
          <w:szCs w:val="21"/>
        </w:rPr>
        <w:t xml:space="preserve">Serve results as alerts with confidence scores through an inference API.</w:t>
      </w:r>
    </w:p>
    <w:p>
      <w:pPr>
        <w:pStyle w:val="ListParagraph"/>
        <w:numPr>
          <w:ilvl w:val="0"/>
          <w:numId w:val="2"/>
        </w:numPr>
        <w:spacing w:after="60"/>
      </w:pPr>
      <w:r>
        <w:rPr>
          <w:rFonts w:ascii="Arial" w:cs="Arial" w:eastAsia="Arial" w:hAnsi="Arial"/>
          <w:sz w:val="21"/>
          <w:szCs w:val="21"/>
        </w:rPr>
        <w:t xml:space="preserve">Report accuracy honestly using standard metrics.</w:t>
      </w:r>
    </w:p>
    <w:p>
      <w:pPr>
        <w:pStyle w:val="Heading1"/>
        <w:spacing w:after="140" w:before="320"/>
      </w:pPr>
      <w:r>
        <w:rPr>
          <w:rFonts w:ascii="Arial" w:cs="Arial" w:eastAsia="Arial" w:hAnsi="Arial"/>
          <w:b/>
          <w:bCs/>
          <w:color w:val="1F7A4D"/>
          <w:sz w:val="30"/>
          <w:szCs w:val="30"/>
        </w:rPr>
        <w:t xml:space="preserve">3. Scope</w:t>
      </w:r>
    </w:p>
    <w:p>
      <w:pPr>
        <w:pStyle w:val="Heading2"/>
        <w:spacing w:after="100" w:before="220"/>
      </w:pPr>
      <w:r>
        <w:rPr>
          <w:rFonts w:ascii="Arial" w:cs="Arial" w:eastAsia="Arial" w:hAnsi="Arial"/>
          <w:b/>
          <w:bCs/>
          <w:color w:val="1B2A22"/>
          <w:sz w:val="24"/>
          <w:szCs w:val="24"/>
        </w:rPr>
        <w:t xml:space="preserve">3.1 In scope</w:t>
      </w:r>
    </w:p>
    <w:p>
      <w:pPr>
        <w:pStyle w:val="ListParagraph"/>
        <w:numPr>
          <w:ilvl w:val="0"/>
          <w:numId w:val="2"/>
        </w:numPr>
        <w:spacing w:after="60"/>
      </w:pPr>
      <w:r>
        <w:rPr>
          <w:rFonts w:ascii="Arial" w:cs="Arial" w:eastAsia="Arial" w:hAnsi="Arial"/>
          <w:sz w:val="21"/>
          <w:szCs w:val="21"/>
        </w:rPr>
        <w:t xml:space="preserve">Data preparation and labelling review</w:t>
      </w:r>
    </w:p>
    <w:p>
      <w:pPr>
        <w:pStyle w:val="ListParagraph"/>
        <w:numPr>
          <w:ilvl w:val="0"/>
          <w:numId w:val="2"/>
        </w:numPr>
        <w:spacing w:after="60"/>
      </w:pPr>
      <w:r>
        <w:rPr>
          <w:rFonts w:ascii="Arial" w:cs="Arial" w:eastAsia="Arial" w:hAnsi="Arial"/>
          <w:sz w:val="21"/>
          <w:szCs w:val="21"/>
        </w:rPr>
        <w:t xml:space="preserve">Model training and evaluation</w:t>
      </w:r>
    </w:p>
    <w:p>
      <w:pPr>
        <w:pStyle w:val="ListParagraph"/>
        <w:numPr>
          <w:ilvl w:val="0"/>
          <w:numId w:val="2"/>
        </w:numPr>
        <w:spacing w:after="60"/>
      </w:pPr>
      <w:r>
        <w:rPr>
          <w:rFonts w:ascii="Arial" w:cs="Arial" w:eastAsia="Arial" w:hAnsi="Arial"/>
          <w:sz w:val="21"/>
          <w:szCs w:val="21"/>
        </w:rPr>
        <w:t xml:space="preserve">Alert generation and parcel matching</w:t>
      </w:r>
    </w:p>
    <w:p>
      <w:pPr>
        <w:pStyle w:val="ListParagraph"/>
        <w:numPr>
          <w:ilvl w:val="0"/>
          <w:numId w:val="2"/>
        </w:numPr>
        <w:spacing w:after="60"/>
      </w:pPr>
      <w:r>
        <w:rPr>
          <w:rFonts w:ascii="Arial" w:cs="Arial" w:eastAsia="Arial" w:hAnsi="Arial"/>
          <w:sz w:val="21"/>
          <w:szCs w:val="21"/>
        </w:rPr>
        <w:t xml:space="preserve">Inference service</w:t>
      </w:r>
    </w:p>
    <w:p>
      <w:pPr>
        <w:pStyle w:val="ListParagraph"/>
        <w:numPr>
          <w:ilvl w:val="0"/>
          <w:numId w:val="2"/>
        </w:numPr>
        <w:spacing w:after="60"/>
      </w:pPr>
      <w:r>
        <w:rPr>
          <w:rFonts w:ascii="Arial" w:cs="Arial" w:eastAsia="Arial" w:hAnsi="Arial"/>
          <w:sz w:val="21"/>
          <w:szCs w:val="21"/>
        </w:rPr>
        <w:t xml:space="preserve">Experiment tracking</w:t>
      </w:r>
    </w:p>
    <w:p>
      <w:pPr>
        <w:pStyle w:val="ListParagraph"/>
        <w:numPr>
          <w:ilvl w:val="0"/>
          <w:numId w:val="2"/>
        </w:numPr>
        <w:spacing w:after="60"/>
      </w:pPr>
      <w:r>
        <w:rPr>
          <w:rFonts w:ascii="Arial" w:cs="Arial" w:eastAsia="Arial" w:hAnsi="Arial"/>
          <w:sz w:val="21"/>
          <w:szCs w:val="21"/>
        </w:rPr>
        <w:t xml:space="preserve">Model documentation</w:t>
      </w:r>
    </w:p>
    <w:p>
      <w:pPr>
        <w:pStyle w:val="Heading2"/>
        <w:spacing w:after="100" w:before="220"/>
      </w:pPr>
      <w:r>
        <w:rPr>
          <w:rFonts w:ascii="Arial" w:cs="Arial" w:eastAsia="Arial" w:hAnsi="Arial"/>
          <w:b/>
          <w:bCs/>
          <w:color w:val="1B2A22"/>
          <w:sz w:val="24"/>
          <w:szCs w:val="24"/>
        </w:rPr>
        <w:t xml:space="preserve">3.2 Out of scope</w:t>
      </w:r>
    </w:p>
    <w:p>
      <w:pPr>
        <w:pStyle w:val="ListParagraph"/>
        <w:numPr>
          <w:ilvl w:val="0"/>
          <w:numId w:val="2"/>
        </w:numPr>
        <w:spacing w:after="60"/>
      </w:pPr>
      <w:r>
        <w:rPr>
          <w:rFonts w:ascii="Arial" w:cs="Arial" w:eastAsia="Arial" w:hAnsi="Arial"/>
          <w:sz w:val="21"/>
          <w:szCs w:val="21"/>
        </w:rPr>
        <w:t xml:space="preserve">Production-scale model serving</w:t>
      </w:r>
    </w:p>
    <w:p>
      <w:pPr>
        <w:pStyle w:val="ListParagraph"/>
        <w:numPr>
          <w:ilvl w:val="0"/>
          <w:numId w:val="2"/>
        </w:numPr>
        <w:spacing w:after="60"/>
      </w:pPr>
      <w:r>
        <w:rPr>
          <w:rFonts w:ascii="Arial" w:cs="Arial" w:eastAsia="Arial" w:hAnsi="Arial"/>
          <w:sz w:val="21"/>
          <w:szCs w:val="21"/>
        </w:rPr>
        <w:t xml:space="preserve">Fully automated enforcement decisions</w:t>
      </w:r>
    </w:p>
    <w:p>
      <w:pPr>
        <w:pStyle w:val="ListParagraph"/>
        <w:numPr>
          <w:ilvl w:val="0"/>
          <w:numId w:val="2"/>
        </w:numPr>
        <w:spacing w:after="60"/>
      </w:pPr>
      <w:r>
        <w:rPr>
          <w:rFonts w:ascii="Arial" w:cs="Arial" w:eastAsia="Arial" w:hAnsi="Arial"/>
          <w:sz w:val="21"/>
          <w:szCs w:val="21"/>
        </w:rPr>
        <w:t xml:space="preserve">UI screens (Members 1 and 4)</w:t>
      </w:r>
    </w:p>
    <w:p>
      <w:pPr>
        <w:pStyle w:val="Heading1"/>
        <w:spacing w:after="140" w:before="320"/>
      </w:pPr>
      <w:r>
        <w:rPr>
          <w:rFonts w:ascii="Arial" w:cs="Arial" w:eastAsia="Arial" w:hAnsi="Arial"/>
          <w:b/>
          <w:bCs/>
          <w:color w:val="1F7A4D"/>
          <w:sz w:val="30"/>
          <w:szCs w:val="30"/>
        </w:rPr>
        <w:t xml:space="preserve">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Area</w:t>
            </w:r>
          </w:p>
        </w:tc>
        <w:tc>
          <w:tcPr>
            <w:tcW w:type="dxa" w:w="3009"/>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Tools / Technology</w:t>
            </w:r>
          </w:p>
        </w:tc>
        <w:tc>
          <w:tcPr>
            <w:tcW w:type="dxa" w:w="4011"/>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Language/ML</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Python, PyTorch, segmentation_models_pytorch</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Model development</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Geospatial</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Rasterio, GeoPandas, GDAL, Shapely</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Raster/vector processing</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Models</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Siamese U-Net or similar for change detection; Random Forest / CNN for LULC baseline</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Detection and classification</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Tracking</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MLflow, DVC</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Experiments and data versioning</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Serving</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FastAPI with ONNX export</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Inference API</w:t>
            </w:r>
          </w:p>
        </w:tc>
      </w:tr>
      <w:tr>
        <w:tc>
          <w:tcPr>
            <w:tcW w:type="dxa" w:w="2006"/>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Compute</w:t>
            </w:r>
          </w:p>
        </w:tc>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GPU instance from Member 6 or free-tier notebooks</w:t>
            </w:r>
          </w:p>
        </w:tc>
        <w:tc>
          <w:tcPr>
            <w:tcW w:type="dxa" w:w="40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Training</w:t>
            </w:r>
          </w:p>
        </w:tc>
      </w:tr>
    </w:tbl>
    <w:p>
      <w:pPr>
        <w:spacing w:after="120"/>
      </w:pPr>
    </w:p>
    <w:p>
      <w:pPr>
        <w:pStyle w:val="Heading1"/>
        <w:spacing w:after="140" w:before="320"/>
      </w:pPr>
      <w:r>
        <w:rPr>
          <w:rFonts w:ascii="Arial" w:cs="Arial" w:eastAsia="Arial" w:hAnsi="Arial"/>
          <w:b/>
          <w:bCs/>
          <w:color w:val="1F7A4D"/>
          <w:sz w:val="30"/>
          <w:szCs w:val="30"/>
        </w:rPr>
        <w:t xml:space="preserve">5. Modules and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513"/>
        <w:gridCol w:w="2708"/>
      </w:tblGrid>
      <w:tr>
        <w:trPr>
          <w:tblHeader/>
        </w:trPr>
        <w:tc>
          <w:tcPr>
            <w:tcW w:type="dxa" w:w="1805"/>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Module</w:t>
            </w:r>
          </w:p>
        </w:tc>
        <w:tc>
          <w:tcPr>
            <w:tcW w:type="dxa" w:w="4513"/>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c>
          <w:tcPr>
            <w:tcW w:type="dxa" w:w="2708"/>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Output</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Data preparation</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Tile imagery, normalize, co-register, split train/validation/test</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Training dataset</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Change detection model</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Bi-temporal segmentation of new or changed buildings</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Trained model and metrics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Land-use change</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Compare LULC classes between dates for each parcel</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Parcel-level change report</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Unauthorized construction logic</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Overlay detected change on parcels; compare with permit layer and permitted footprint</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Alerts with reason and confidence</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Risk scoring</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Combine restrictions, DEM/terrain and water layers</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Parcel risk score and map layer</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Inference API</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Endpoint to run model on an area and return GeoJSON alerts</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Deployed service</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Model report</w:t>
            </w:r>
          </w:p>
        </w:tc>
        <w:tc>
          <w:tcPr>
            <w:tcW w:type="dxa" w:w="451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Data, method, metrics, limitations, ethics</w:t>
            </w:r>
          </w:p>
        </w:tc>
        <w:tc>
          <w:tcPr>
            <w:tcW w:type="dxa" w:w="270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Model documentation</w:t>
            </w:r>
          </w:p>
        </w:tc>
      </w:tr>
    </w:tbl>
    <w:p>
      <w:pPr>
        <w:spacing w:after="120"/>
      </w:pPr>
    </w:p>
    <w:p>
      <w:pPr>
        <w:pStyle w:val="Heading2"/>
        <w:spacing w:after="100" w:before="220"/>
      </w:pPr>
      <w:r>
        <w:rPr>
          <w:rFonts w:ascii="Arial" w:cs="Arial" w:eastAsia="Arial" w:hAnsi="Arial"/>
          <w:b/>
          <w:bCs/>
          <w:color w:val="1B2A22"/>
          <w:sz w:val="24"/>
          <w:szCs w:val="24"/>
        </w:rPr>
        <w:t xml:space="preserve">5.1 Evaluation plan</w:t>
      </w:r>
    </w:p>
    <w:p>
      <w:pPr>
        <w:pStyle w:val="ListParagraph"/>
        <w:numPr>
          <w:ilvl w:val="0"/>
          <w:numId w:val="2"/>
        </w:numPr>
        <w:spacing w:after="60"/>
      </w:pPr>
      <w:r>
        <w:rPr>
          <w:rFonts w:ascii="Arial" w:cs="Arial" w:eastAsia="Arial" w:hAnsi="Arial"/>
          <w:sz w:val="21"/>
          <w:szCs w:val="21"/>
        </w:rPr>
        <w:t xml:space="preserve">Metrics: precision, recall, F1-score and IoU on a held-out test set.</w:t>
      </w:r>
    </w:p>
    <w:p>
      <w:pPr>
        <w:pStyle w:val="ListParagraph"/>
        <w:numPr>
          <w:ilvl w:val="0"/>
          <w:numId w:val="2"/>
        </w:numPr>
        <w:spacing w:after="60"/>
      </w:pPr>
      <w:r>
        <w:rPr>
          <w:rFonts w:ascii="Arial" w:cs="Arial" w:eastAsia="Arial" w:hAnsi="Arial"/>
          <w:sz w:val="21"/>
          <w:szCs w:val="21"/>
        </w:rPr>
        <w:t xml:space="preserve">Compare at least two model architectures or configurations.</w:t>
      </w:r>
    </w:p>
    <w:p>
      <w:pPr>
        <w:pStyle w:val="ListParagraph"/>
        <w:numPr>
          <w:ilvl w:val="0"/>
          <w:numId w:val="2"/>
        </w:numPr>
        <w:spacing w:after="60"/>
      </w:pPr>
      <w:r>
        <w:rPr>
          <w:rFonts w:ascii="Arial" w:cs="Arial" w:eastAsia="Arial" w:hAnsi="Arial"/>
          <w:sz w:val="21"/>
          <w:szCs w:val="21"/>
        </w:rPr>
        <w:t xml:space="preserve">Report performance separately for the ICCD test cities and for the local study area.</w:t>
      </w:r>
    </w:p>
    <w:p>
      <w:pPr>
        <w:pStyle w:val="ListParagraph"/>
        <w:numPr>
          <w:ilvl w:val="0"/>
          <w:numId w:val="2"/>
        </w:numPr>
        <w:spacing w:after="60"/>
      </w:pPr>
      <w:r>
        <w:rPr>
          <w:rFonts w:ascii="Arial" w:cs="Arial" w:eastAsia="Arial" w:hAnsi="Arial"/>
          <w:sz w:val="21"/>
          <w:szCs w:val="21"/>
        </w:rPr>
        <w:t xml:space="preserve">Analyse false positives and false negatives with example images.</w:t>
      </w:r>
    </w:p>
    <w:p>
      <w:pPr>
        <w:pStyle w:val="Heading2"/>
        <w:spacing w:after="100" w:before="220"/>
      </w:pPr>
      <w:r>
        <w:rPr>
          <w:rFonts w:ascii="Arial" w:cs="Arial" w:eastAsia="Arial" w:hAnsi="Arial"/>
          <w:b/>
          <w:bCs/>
          <w:color w:val="1B2A22"/>
          <w:sz w:val="24"/>
          <w:szCs w:val="24"/>
        </w:rPr>
        <w:t xml:space="preserve">5.2 Human-in-the-loop design</w:t>
      </w:r>
    </w:p>
    <w:p>
      <w:pPr>
        <w:spacing w:after="120" w:line="276"/>
      </w:pPr>
      <w:r>
        <w:rPr>
          <w:rFonts w:ascii="Arial" w:cs="Arial" w:eastAsia="Arial" w:hAnsi="Arial"/>
          <w:sz w:val="21"/>
          <w:szCs w:val="21"/>
        </w:rPr>
        <w:t xml:space="preserve">Every alert is shown to an officer with the before/after images, the confidence score and the matched parcel. The officer confirms or rejects the alert, and rejected alerts are stored as feedback for later retraining. No penalty or action is taken automatically.</w:t>
      </w:r>
    </w:p>
    <w:p>
      <w:pPr>
        <w:pStyle w:val="Heading2"/>
        <w:spacing w:after="100" w:before="220"/>
      </w:pPr>
      <w:r>
        <w:rPr>
          <w:rFonts w:ascii="Arial" w:cs="Arial" w:eastAsia="Arial" w:hAnsi="Arial"/>
          <w:b/>
          <w:bCs/>
          <w:color w:val="1B2A22"/>
          <w:sz w:val="24"/>
          <w:szCs w:val="24"/>
        </w:rPr>
        <w:t xml:space="preserve">5.3 Known limitations to state in the report</w:t>
      </w:r>
    </w:p>
    <w:p>
      <w:pPr>
        <w:pStyle w:val="ListParagraph"/>
        <w:numPr>
          <w:ilvl w:val="0"/>
          <w:numId w:val="2"/>
        </w:numPr>
        <w:spacing w:after="60"/>
      </w:pPr>
      <w:r>
        <w:rPr>
          <w:rFonts w:ascii="Arial" w:cs="Arial" w:eastAsia="Arial" w:hAnsi="Arial"/>
          <w:sz w:val="21"/>
          <w:szCs w:val="21"/>
        </w:rPr>
        <w:t xml:space="preserve">Domain shift: ICCD covers other Indian cities, so accuracy on the study area may be lower.</w:t>
      </w:r>
    </w:p>
    <w:p>
      <w:pPr>
        <w:pStyle w:val="ListParagraph"/>
        <w:numPr>
          <w:ilvl w:val="0"/>
          <w:numId w:val="2"/>
        </w:numPr>
        <w:spacing w:after="60"/>
      </w:pPr>
      <w:r>
        <w:rPr>
          <w:rFonts w:ascii="Arial" w:cs="Arial" w:eastAsia="Arial" w:hAnsi="Arial"/>
          <w:sz w:val="21"/>
          <w:szCs w:val="21"/>
        </w:rPr>
        <w:t xml:space="preserve">SEDAC LULC ends in 2005 and has 100 m resolution, so it is a coarse baseline.</w:t>
      </w:r>
    </w:p>
    <w:p>
      <w:pPr>
        <w:pStyle w:val="ListParagraph"/>
        <w:numPr>
          <w:ilvl w:val="0"/>
          <w:numId w:val="2"/>
        </w:numPr>
        <w:spacing w:after="60"/>
      </w:pPr>
      <w:r>
        <w:rPr>
          <w:rFonts w:ascii="Arial" w:cs="Arial" w:eastAsia="Arial" w:hAnsi="Arial"/>
          <w:sz w:val="21"/>
          <w:szCs w:val="21"/>
        </w:rPr>
        <w:t xml:space="preserve">Sentinel resolution limits detection of small structures.</w:t>
      </w:r>
    </w:p>
    <w:p>
      <w:pPr>
        <w:pStyle w:val="ListParagraph"/>
        <w:numPr>
          <w:ilvl w:val="0"/>
          <w:numId w:val="2"/>
        </w:numPr>
        <w:spacing w:after="60"/>
      </w:pPr>
      <w:r>
        <w:rPr>
          <w:rFonts w:ascii="Arial" w:cs="Arial" w:eastAsia="Arial" w:hAnsi="Arial"/>
          <w:sz w:val="21"/>
          <w:szCs w:val="21"/>
        </w:rPr>
        <w:t xml:space="preserve">Cloud cover and seasonal changes can cause false positives.</w:t>
      </w:r>
    </w:p>
    <w:p>
      <w:pPr>
        <w:pStyle w:val="Heading1"/>
        <w:spacing w:after="140" w:before="320"/>
      </w:pPr>
      <w:r>
        <w:rPr>
          <w:rFonts w:ascii="Arial" w:cs="Arial" w:eastAsia="Arial" w:hAnsi="Arial"/>
          <w:b/>
          <w:bCs/>
          <w:color w:val="1F7A4D"/>
          <w:sz w:val="30"/>
          <w:szCs w:val="30"/>
        </w:rPr>
        <w:t xml:space="preserve">6. Datasets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Dataset</w:t>
            </w:r>
          </w:p>
        </w:tc>
        <w:tc>
          <w:tcPr>
            <w:tcW w:type="dxa" w:w="6017"/>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How it is used in this role</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ICCD (IEEE Dataport)</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Labelled bi-temporal image pairs and change masks for training and testing</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Bhoonidhi (Sentinel, Landsat) and Bhuvan (Cartosat)</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Imagery for the study area and validation</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NASA SEDAC decadal LULC</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Historical land-use baseline</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Bhuvan thematic layers and DEM</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Terrain and land-cover inputs for risk scoring</w:t>
            </w:r>
          </w:p>
        </w:tc>
      </w:tr>
      <w:tr>
        <w:tc>
          <w:tcPr>
            <w:tcW w:type="dxa" w:w="3009"/>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Parcels and synthetic permit layer (Member 3)</w:t>
            </w:r>
          </w:p>
        </w:tc>
        <w:tc>
          <w:tcPr>
            <w:tcW w:type="dxa" w:w="6017"/>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Matching detected change to parcels and permitted footprints</w:t>
            </w:r>
          </w:p>
        </w:tc>
      </w:tr>
    </w:tbl>
    <w:p>
      <w:pPr>
        <w:spacing w:after="120"/>
      </w:pPr>
    </w:p>
    <w:p>
      <w:pPr>
        <w:pStyle w:val="Heading1"/>
        <w:spacing w:after="140" w:before="320"/>
      </w:pPr>
      <w:r>
        <w:rPr>
          <w:rFonts w:ascii="Arial" w:cs="Arial" w:eastAsia="Arial" w:hAnsi="Arial"/>
          <w:b/>
          <w:bCs/>
          <w:color w:val="1F7A4D"/>
          <w:sz w:val="30"/>
          <w:szCs w:val="30"/>
        </w:rPr>
        <w:t xml:space="preserve">7. Interfaces with Other 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With</w:t>
            </w:r>
          </w:p>
        </w:tc>
        <w:tc>
          <w:tcPr>
            <w:tcW w:type="dxa" w:w="3610"/>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This role provides</w:t>
            </w:r>
          </w:p>
        </w:tc>
        <w:tc>
          <w:tcPr>
            <w:tcW w:type="dxa" w:w="3611"/>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This role needs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1 (Frontend)</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Alert GeoJSON with confidence for map display</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Display requirements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2 (Backend)</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Inference endpoint and alert payload</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Endpoint conventions and authentication</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3 (Database)</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Alert records to store</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Parcel geometries, permit layer, imagery index</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4 (Security/Officer)</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Alerts and confidence for review workflow</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Feedback (confirm/reject) for retraining</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Member 6 (Cloud)</w:t>
            </w:r>
          </w:p>
        </w:tc>
        <w:tc>
          <w:tcPr>
            <w:tcW w:type="dxa" w:w="3610"/>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Compute and storage requirements</w:t>
            </w:r>
          </w:p>
        </w:tc>
        <w:tc>
          <w:tcPr>
            <w:tcW w:type="dxa" w:w="3611"/>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GPU training, object storage, model hosting</w:t>
            </w:r>
          </w:p>
        </w:tc>
      </w:tr>
    </w:tbl>
    <w:p>
      <w:pPr>
        <w:spacing w:after="120"/>
      </w:pPr>
    </w:p>
    <w:p>
      <w:pPr>
        <w:pStyle w:val="Heading1"/>
        <w:spacing w:after="140" w:before="320"/>
      </w:pPr>
      <w:r>
        <w:rPr>
          <w:rFonts w:ascii="Arial" w:cs="Arial" w:eastAsia="Arial" w:hAnsi="Arial"/>
          <w:b/>
          <w:bCs/>
          <w:color w:val="1F7A4D"/>
          <w:sz w:val="30"/>
          <w:szCs w:val="30"/>
        </w:rPr>
        <w:t xml:space="preserve">8. Work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903"/>
        <w:gridCol w:w="6318"/>
      </w:tblGrid>
      <w:tr>
        <w:trPr>
          <w:tblHeader/>
        </w:trPr>
        <w:tc>
          <w:tcPr>
            <w:tcW w:type="dxa" w:w="1805"/>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903"/>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Weeks</w:t>
            </w:r>
          </w:p>
        </w:tc>
        <w:tc>
          <w:tcPr>
            <w:tcW w:type="dxa" w:w="6318"/>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Tasks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Study and data</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1-6</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Review methods, obtain ICCD and imagery, define metrics</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Baseline</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10-11</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Preprocessing pipeline, baseline model</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Main models</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11-13</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Train and tune change detection, LULC comparison</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Alert logic</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13-14</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Parcel and permit matching, risk score</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Serve and integrate</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14-16</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Inference API, GeoJSON alerts into database and dashboard</w:t>
            </w:r>
          </w:p>
        </w:tc>
      </w:tr>
      <w:tr>
        <w:tc>
          <w:tcPr>
            <w:tcW w:type="dxa" w:w="1805"/>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Evaluate and document</w:t>
            </w:r>
          </w:p>
        </w:tc>
        <w:tc>
          <w:tcPr>
            <w:tcW w:type="dxa" w:w="903"/>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16-18</w:t>
            </w:r>
          </w:p>
        </w:tc>
        <w:tc>
          <w:tcPr>
            <w:tcW w:type="dxa" w:w="6318"/>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Final metrics, error analysis, model report</w:t>
            </w:r>
          </w:p>
        </w:tc>
      </w:tr>
    </w:tbl>
    <w:p>
      <w:pPr>
        <w:spacing w:after="120"/>
      </w:pPr>
    </w:p>
    <w:p>
      <w:pPr>
        <w:pStyle w:val="Heading1"/>
        <w:spacing w:after="140" w:before="320"/>
      </w:pPr>
      <w:r>
        <w:rPr>
          <w:rFonts w:ascii="Arial" w:cs="Arial" w:eastAsia="Arial" w:hAnsi="Arial"/>
          <w:b/>
          <w:bCs/>
          <w:color w:val="1F7A4D"/>
          <w:sz w:val="30"/>
          <w:szCs w:val="30"/>
        </w:rPr>
        <w:t xml:space="preserve">9. Acceptance Criteria</w:t>
      </w:r>
    </w:p>
    <w:p>
      <w:pPr>
        <w:pStyle w:val="ListParagraph"/>
        <w:numPr>
          <w:ilvl w:val="0"/>
          <w:numId w:val="2"/>
        </w:numPr>
        <w:spacing w:after="60"/>
      </w:pPr>
      <w:r>
        <w:rPr>
          <w:rFonts w:ascii="Arial" w:cs="Arial" w:eastAsia="Arial" w:hAnsi="Arial"/>
          <w:sz w:val="21"/>
          <w:szCs w:val="21"/>
        </w:rPr>
        <w:t xml:space="preserve">Metrics on the held-out test set are reported (precision, recall, F1, IoU) with at least one baseline comparison.</w:t>
      </w:r>
    </w:p>
    <w:p>
      <w:pPr>
        <w:pStyle w:val="ListParagraph"/>
        <w:numPr>
          <w:ilvl w:val="0"/>
          <w:numId w:val="2"/>
        </w:numPr>
        <w:spacing w:after="60"/>
      </w:pPr>
      <w:r>
        <w:rPr>
          <w:rFonts w:ascii="Arial" w:cs="Arial" w:eastAsia="Arial" w:hAnsi="Arial"/>
          <w:sz w:val="21"/>
          <w:szCs w:val="21"/>
        </w:rPr>
        <w:t xml:space="preserve">Inference API returns GeoJSON alerts with confidence scores for a chosen area.</w:t>
      </w:r>
    </w:p>
    <w:p>
      <w:pPr>
        <w:pStyle w:val="ListParagraph"/>
        <w:numPr>
          <w:ilvl w:val="0"/>
          <w:numId w:val="2"/>
        </w:numPr>
        <w:spacing w:after="60"/>
      </w:pPr>
      <w:r>
        <w:rPr>
          <w:rFonts w:ascii="Arial" w:cs="Arial" w:eastAsia="Arial" w:hAnsi="Arial"/>
          <w:sz w:val="21"/>
          <w:szCs w:val="21"/>
        </w:rPr>
        <w:t xml:space="preserve">Alerts appear on the officer dashboard and can be confirmed or rejected.</w:t>
      </w:r>
    </w:p>
    <w:p>
      <w:pPr>
        <w:pStyle w:val="ListParagraph"/>
        <w:numPr>
          <w:ilvl w:val="0"/>
          <w:numId w:val="2"/>
        </w:numPr>
        <w:spacing w:after="60"/>
      </w:pPr>
      <w:r>
        <w:rPr>
          <w:rFonts w:ascii="Arial" w:cs="Arial" w:eastAsia="Arial" w:hAnsi="Arial"/>
          <w:sz w:val="21"/>
          <w:szCs w:val="21"/>
        </w:rPr>
        <w:t xml:space="preserve">Model report states data sources, limitations and intended use.</w:t>
      </w:r>
    </w:p>
    <w:p>
      <w:pPr>
        <w:pStyle w:val="ListParagraph"/>
        <w:numPr>
          <w:ilvl w:val="0"/>
          <w:numId w:val="2"/>
        </w:numPr>
        <w:spacing w:after="60"/>
      </w:pPr>
      <w:r>
        <w:rPr>
          <w:rFonts w:ascii="Arial" w:cs="Arial" w:eastAsia="Arial" w:hAnsi="Arial"/>
          <w:sz w:val="21"/>
          <w:szCs w:val="21"/>
        </w:rPr>
        <w:t xml:space="preserve">Experiments are reproducible from tracked code, data version and seeds.</w:t>
      </w:r>
    </w:p>
    <w:p>
      <w:pPr>
        <w:pStyle w:val="Heading1"/>
        <w:spacing w:after="140" w:before="320"/>
      </w:pPr>
      <w:r>
        <w:rPr>
          <w:rFonts w:ascii="Arial" w:cs="Arial" w:eastAsia="Arial" w:hAnsi="Arial"/>
          <w:b/>
          <w:bCs/>
          <w:color w:val="1F7A4D"/>
          <w:sz w:val="30"/>
          <w:szCs w:val="30"/>
        </w:rPr>
        <w:t xml:space="preserve">10.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2"/>
        <w:gridCol w:w="5014"/>
      </w:tblGrid>
      <w:tr>
        <w:trPr>
          <w:tblHeader/>
        </w:trPr>
        <w:tc>
          <w:tcPr>
            <w:tcW w:type="dxa" w:w="4012"/>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Risk</w:t>
            </w:r>
          </w:p>
        </w:tc>
        <w:tc>
          <w:tcPr>
            <w:tcW w:type="dxa" w:w="5014"/>
            <w:tcBorders>
              <w:top w:val="single" w:color="BFC9C3" w:sz="4"/>
              <w:left w:val="single" w:color="BFC9C3" w:sz="4"/>
              <w:bottom w:val="single" w:color="BFC9C3" w:sz="4"/>
              <w:right w:val="single" w:color="BFC9C3" w:sz="4"/>
            </w:tcBorders>
            <w:shd w:fill="1F7A4D" w:color="auto" w:val="clear"/>
            <w:tcMar>
              <w:top w:type="dxa" w:w="60"/>
              <w:left w:type="dxa" w:w="100"/>
              <w:bottom w:type="dxa" w:w="60"/>
              <w:right w:type="dxa" w:w="100"/>
            </w:tcMar>
          </w:tcPr>
          <w:p>
            <w:r>
              <w:rPr>
                <w:rFonts w:ascii="Arial" w:cs="Arial" w:eastAsia="Arial" w:hAnsi="Arial"/>
                <w:b/>
                <w:bCs/>
                <w:color w:val="FFFFFF"/>
                <w:sz w:val="19"/>
                <w:szCs w:val="19"/>
              </w:rPr>
              <w:t xml:space="preserve">Mitigation</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Low accuracy on local imagery (domain shift)</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Fine-tune on a small local labelled sample and report both results</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Too few labels</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Use ICCD, augmentation and semi-supervised methods</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False alarms reduce trust</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Confidence thresholds, officer verification, feedback loop</w:t>
            </w:r>
          </w:p>
        </w:tc>
      </w:tr>
      <w:tr>
        <w:tc>
          <w:tcPr>
            <w:tcW w:type="dxa" w:w="4012"/>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GPU access limited</w:t>
            </w:r>
          </w:p>
        </w:tc>
        <w:tc>
          <w:tcPr>
            <w:tcW w:type="dxa" w:w="5014"/>
            <w:tcBorders>
              <w:top w:val="single" w:color="BFC9C3" w:sz="4"/>
              <w:left w:val="single" w:color="BFC9C3" w:sz="4"/>
              <w:bottom w:val="single" w:color="BFC9C3" w:sz="4"/>
              <w:right w:val="single" w:color="BFC9C3" w:sz="4"/>
            </w:tcBorders>
            <w:tcMar>
              <w:top w:type="dxa" w:w="60"/>
              <w:left w:type="dxa" w:w="100"/>
              <w:bottom w:type="dxa" w:w="60"/>
              <w:right w:type="dxa" w:w="100"/>
            </w:tcMar>
          </w:tcPr>
          <w:p>
            <w:r>
              <w:rPr>
                <w:rFonts w:ascii="Arial" w:cs="Arial" w:eastAsia="Arial" w:hAnsi="Arial"/>
                <w:b w:val="false"/>
                <w:bCs w:val="false"/>
                <w:sz w:val="19"/>
                <w:szCs w:val="19"/>
              </w:rPr>
              <w:t xml:space="preserve">Small models, mixed precision, free-tier or cloud credits via Member 6</w:t>
            </w:r>
          </w:p>
        </w:tc>
      </w:tr>
    </w:tbl>
    <w:p>
      <w:pPr>
        <w:spacing w:after="120"/>
      </w:pPr>
    </w:p>
    <w:p>
      <w:pPr>
        <w:pStyle w:val="Heading1"/>
        <w:spacing w:after="140" w:before="320"/>
      </w:pPr>
      <w:r>
        <w:rPr>
          <w:rFonts w:ascii="Arial" w:cs="Arial" w:eastAsia="Arial" w:hAnsi="Arial"/>
          <w:b/>
          <w:bCs/>
          <w:color w:val="1F7A4D"/>
          <w:sz w:val="30"/>
          <w:szCs w:val="30"/>
        </w:rPr>
        <w:t xml:space="preserve">11. Contribution to Project Goals</w:t>
      </w:r>
    </w:p>
    <w:p>
      <w:pPr>
        <w:spacing w:after="120" w:line="276"/>
      </w:pPr>
      <w:r>
        <w:rPr>
          <w:rFonts w:ascii="Arial" w:cs="Arial" w:eastAsia="Arial" w:hAnsi="Arial"/>
          <w:sz w:val="21"/>
          <w:szCs w:val="21"/>
        </w:rPr>
        <w:t xml:space="preserve">The AI/ML module delivers the decision-support outcome of the project. It supports SDG 11.3 and 11.b (better planning and risk awareness), SDG 9.5 (innovation) and SDG 16.6 by helping institutions detect irregularities earlier.</w:t>
      </w:r>
    </w:p>
    <w:p>
      <w:pPr>
        <w:pStyle w:val="Heading1"/>
        <w:spacing w:after="140" w:before="320"/>
      </w:pPr>
      <w:r>
        <w:rPr>
          <w:rFonts w:ascii="Arial" w:cs="Arial" w:eastAsia="Arial" w:hAnsi="Arial"/>
          <w:b/>
          <w:bCs/>
          <w:color w:val="1F7A4D"/>
          <w:sz w:val="30"/>
          <w:szCs w:val="30"/>
        </w:rPr>
        <w:t xml:space="preserve">12. Skills and Learning Outcomes</w:t>
      </w:r>
    </w:p>
    <w:p>
      <w:pPr>
        <w:pStyle w:val="ListParagraph"/>
        <w:numPr>
          <w:ilvl w:val="0"/>
          <w:numId w:val="2"/>
        </w:numPr>
        <w:spacing w:after="60"/>
      </w:pPr>
      <w:r>
        <w:rPr>
          <w:rFonts w:ascii="Arial" w:cs="Arial" w:eastAsia="Arial" w:hAnsi="Arial"/>
          <w:sz w:val="21"/>
          <w:szCs w:val="21"/>
        </w:rPr>
        <w:t xml:space="preserve">Geospatial deep learning</w:t>
      </w:r>
    </w:p>
    <w:p>
      <w:pPr>
        <w:pStyle w:val="ListParagraph"/>
        <w:numPr>
          <w:ilvl w:val="0"/>
          <w:numId w:val="2"/>
        </w:numPr>
        <w:spacing w:after="60"/>
      </w:pPr>
      <w:r>
        <w:rPr>
          <w:rFonts w:ascii="Arial" w:cs="Arial" w:eastAsia="Arial" w:hAnsi="Arial"/>
          <w:sz w:val="21"/>
          <w:szCs w:val="21"/>
        </w:rPr>
        <w:t xml:space="preserve">Remote-sensing preprocessing</w:t>
      </w:r>
    </w:p>
    <w:p>
      <w:pPr>
        <w:pStyle w:val="ListParagraph"/>
        <w:numPr>
          <w:ilvl w:val="0"/>
          <w:numId w:val="2"/>
        </w:numPr>
        <w:spacing w:after="60"/>
      </w:pPr>
      <w:r>
        <w:rPr>
          <w:rFonts w:ascii="Arial" w:cs="Arial" w:eastAsia="Arial" w:hAnsi="Arial"/>
          <w:sz w:val="21"/>
          <w:szCs w:val="21"/>
        </w:rPr>
        <w:t xml:space="preserve">Model evaluation and error analysis</w:t>
      </w:r>
    </w:p>
    <w:p>
      <w:pPr>
        <w:pStyle w:val="ListParagraph"/>
        <w:numPr>
          <w:ilvl w:val="0"/>
          <w:numId w:val="2"/>
        </w:numPr>
        <w:spacing w:after="60"/>
      </w:pPr>
      <w:r>
        <w:rPr>
          <w:rFonts w:ascii="Arial" w:cs="Arial" w:eastAsia="Arial" w:hAnsi="Arial"/>
          <w:sz w:val="21"/>
          <w:szCs w:val="21"/>
        </w:rPr>
        <w:t xml:space="preserve">Responsible AI and human-in-the-loop design</w:t>
      </w:r>
    </w:p>
    <w:p>
      <w:pPr>
        <w:pStyle w:val="Heading1"/>
        <w:spacing w:after="140" w:before="320"/>
      </w:pPr>
      <w:r>
        <w:rPr>
          <w:rFonts w:ascii="Arial" w:cs="Arial" w:eastAsia="Arial" w:hAnsi="Arial"/>
          <w:b/>
          <w:bCs/>
          <w:color w:val="1F7A4D"/>
          <w:sz w:val="30"/>
          <w:szCs w:val="30"/>
        </w:rPr>
        <w:t xml:space="preserve">References</w:t>
      </w:r>
    </w:p>
    <w:p>
      <w:pPr>
        <w:pStyle w:val="ListParagraph"/>
        <w:numPr>
          <w:ilvl w:val="0"/>
          <w:numId w:val="2"/>
        </w:numPr>
        <w:spacing w:after="60"/>
      </w:pPr>
      <w:r>
        <w:rPr>
          <w:rFonts w:ascii="Arial" w:cs="Arial" w:eastAsia="Arial" w:hAnsi="Arial"/>
          <w:sz w:val="21"/>
          <w:szCs w:val="21"/>
        </w:rPr>
        <w:t xml:space="preserve">PIB (May 2026), Land Stack Initiative to Usher in Transparent and Citizen-Centric Land Management. https://www.pib.gov.in/PressReleasePage.aspx?PRID=2259050</w:t>
      </w:r>
    </w:p>
    <w:p>
      <w:pPr>
        <w:pStyle w:val="ListParagraph"/>
        <w:numPr>
          <w:ilvl w:val="0"/>
          <w:numId w:val="2"/>
        </w:numPr>
        <w:spacing w:after="60"/>
      </w:pPr>
      <w:r>
        <w:rPr>
          <w:rFonts w:ascii="Arial" w:cs="Arial" w:eastAsia="Arial" w:hAnsi="Arial"/>
          <w:sz w:val="21"/>
          <w:szCs w:val="21"/>
        </w:rPr>
        <w:t xml:space="preserve">PIB (Dec 2025), National Symposium on Naksha and LandStack. https://www.pib.gov.in/PressReleasePage.aspx?PRID=2197439</w:t>
      </w:r>
    </w:p>
    <w:p>
      <w:pPr>
        <w:pStyle w:val="ListParagraph"/>
        <w:numPr>
          <w:ilvl w:val="0"/>
          <w:numId w:val="2"/>
        </w:numPr>
        <w:spacing w:after="60"/>
      </w:pPr>
      <w:r>
        <w:rPr>
          <w:rFonts w:ascii="Arial" w:cs="Arial" w:eastAsia="Arial" w:hAnsi="Arial"/>
          <w:sz w:val="21"/>
          <w:szCs w:val="21"/>
        </w:rPr>
        <w:t xml:space="preserve">PIB (Sept 2026), Operational Guidelines for DILRMP 3.0. https://www.pib.gov.in/PressReleaseIframePage.aspx?PRID=2308504</w:t>
      </w:r>
    </w:p>
    <w:p>
      <w:pPr>
        <w:pStyle w:val="ListParagraph"/>
        <w:numPr>
          <w:ilvl w:val="0"/>
          <w:numId w:val="2"/>
        </w:numPr>
        <w:spacing w:after="60"/>
      </w:pPr>
      <w:r>
        <w:rPr>
          <w:rFonts w:ascii="Arial" w:cs="Arial" w:eastAsia="Arial" w:hAnsi="Arial"/>
          <w:sz w:val="21"/>
          <w:szCs w:val="21"/>
        </w:rPr>
        <w:t xml:space="preserve">PIB (May 2026), Land Stack as next layer of Digital Public Infrastructure. https://www.pib.gov.in/PressReleasePage.aspx?PRID=2263740</w:t>
      </w:r>
    </w:p>
    <w:p>
      <w:pPr>
        <w:pStyle w:val="ListParagraph"/>
        <w:numPr>
          <w:ilvl w:val="0"/>
          <w:numId w:val="2"/>
        </w:numPr>
        <w:spacing w:after="60"/>
      </w:pPr>
      <w:r>
        <w:rPr>
          <w:rFonts w:ascii="Arial" w:cs="Arial" w:eastAsia="Arial" w:hAnsi="Arial"/>
          <w:sz w:val="21"/>
          <w:szCs w:val="21"/>
        </w:rPr>
        <w:t xml:space="preserve">PIB (Aug 2026), Bharat Land Stack and Bhu-Aadhaar. https://www.pib.gov.in/PressReleasePage.aspx?PRID=2303882</w:t>
      </w:r>
    </w:p>
    <w:p>
      <w:pPr>
        <w:pStyle w:val="ListParagraph"/>
        <w:numPr>
          <w:ilvl w:val="0"/>
          <w:numId w:val="2"/>
        </w:numPr>
        <w:spacing w:after="60"/>
      </w:pPr>
      <w:r>
        <w:rPr>
          <w:rFonts w:ascii="Arial" w:cs="Arial" w:eastAsia="Arial" w:hAnsi="Arial"/>
          <w:sz w:val="21"/>
          <w:szCs w:val="21"/>
        </w:rPr>
        <w:t xml:space="preserve">DoLR, DILRMP / ULPIN page. https://dolr.gov.in/en/department-of-land-resources-govt-of-india-is-implementing-digital-india-land-records-modernization-program-through-state-ut-governments/</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756C"/>
        <w:sz w:val="16"/>
        <w:szCs w:val="16"/>
      </w:rPr>
      <w:t xml:space="preserve">Page </w:t>
    </w:r>
    <w:r>
      <w:rPr>
        <w:rFonts w:ascii="Arial" w:cs="Arial" w:eastAsia="Arial" w:hAnsi="Arial"/>
        <w:color w:val="6675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756C"/>
        <w:sz w:val="16"/>
        <w:szCs w:val="16"/>
      </w:rPr>
      <w:t xml:space="preserve">Land Stack | Report 5: Geospatial AI/ML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2026-09-29T07:30:31.131Z</dcterms:created>
  <dcterms:modified xsi:type="dcterms:W3CDTF">2026-09-29T07:30:31.131Z</dcterms:modified>
</cp:coreProperties>
</file>

<file path=docProps/custom.xml><?xml version="1.0" encoding="utf-8"?>
<Properties xmlns="http://schemas.openxmlformats.org/officeDocument/2006/custom-properties" xmlns:vt="http://schemas.openxmlformats.org/officeDocument/2006/docPropsVTypes"/>
</file>