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b/>
          <w:bCs/>
          <w:color w:val="1F7A4D"/>
          <w:spacing w:val="60"/>
          <w:sz w:val="24"/>
          <w:szCs w:val="24"/>
        </w:rPr>
        <w:t xml:space="preserve">LAND STACK</w:t>
      </w:r>
    </w:p>
    <w:p>
      <w:pPr>
        <w:spacing w:after="200"/>
      </w:pPr>
      <w:r>
        <w:rPr>
          <w:rFonts w:ascii="Arial" w:cs="Arial" w:eastAsia="Arial" w:hAnsi="Arial"/>
          <w:b/>
          <w:bCs/>
          <w:sz w:val="46"/>
          <w:szCs w:val="46"/>
        </w:rPr>
        <w:t xml:space="preserve">Report 6: Cloud, DevOps and Infrastructure</w:t>
      </w:r>
    </w:p>
    <w:p>
      <w:pPr>
        <w:pBdr>
          <w:bottom w:val="single" w:color="1F7A4D" w:sz="12" w:space="8"/>
        </w:pBdr>
        <w:spacing w:after="600"/>
      </w:pPr>
      <w:r>
        <w:rPr>
          <w:rFonts w:ascii="Arial" w:cs="Arial" w:eastAsia="Arial" w:hAnsi="Arial"/>
          <w:color w:val="66756C"/>
          <w:sz w:val="24"/>
          <w:szCs w:val="24"/>
        </w:rPr>
        <w:t xml:space="preserve">Cloud track, Member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644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Detail</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Project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Land Stack: Integrated GIS-Based Digital Public Infrastructure for Land Governance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Team member</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6 (Cloud)</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Cloud, DevOps and Infrastructure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Nature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Applied Research + Software Development + GIS-Based Prototype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Current TRL / target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TRL 2 / TRL 4</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Duration</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18 weeks</w:t>
            </w:r>
          </w:p>
        </w:tc>
      </w:tr>
    </w:tbl>
    <w:p>
      <w:pPr>
        <w:spacing w:after="120"/>
      </w:pPr>
    </w:p>
    <w:p>
      <w:r>
        <w:br w:type="page"/>
      </w:r>
    </w:p>
    <w:p>
      <w:pPr>
        <w:pStyle w:val="Heading1"/>
        <w:spacing w:after="140" w:before="320"/>
      </w:pPr>
      <w:r>
        <w:rPr>
          <w:rFonts w:ascii="Arial" w:cs="Arial" w:eastAsia="Arial" w:hAnsi="Arial"/>
          <w:b/>
          <w:bCs/>
          <w:color w:val="1F7A4D"/>
          <w:sz w:val="30"/>
          <w:szCs w:val="30"/>
        </w:rPr>
        <w:t xml:space="preserve">1. Role Overview</w:t>
      </w:r>
    </w:p>
    <w:p>
      <w:pPr>
        <w:spacing w:after="120" w:line="276"/>
      </w:pPr>
      <w:r>
        <w:rPr>
          <w:rFonts w:ascii="Arial" w:cs="Arial" w:eastAsia="Arial" w:hAnsi="Arial"/>
          <w:sz w:val="21"/>
          <w:szCs w:val="21"/>
        </w:rPr>
        <w:t xml:space="preserve">Member 6 designs and runs the platform infrastructure: containerization, infrastructure as code, CI/CD, managed database and storage, networking and security, monitoring, backup and scalability. The goal is a cloud-native, reproducible, secure deployment that shows the architecture can scale.</w:t>
      </w:r>
    </w:p>
    <w:p>
      <w:pPr>
        <w:pStyle w:val="Heading2"/>
        <w:spacing w:after="100" w:before="220"/>
      </w:pPr>
      <w:r>
        <w:rPr>
          <w:rFonts w:ascii="Arial" w:cs="Arial" w:eastAsia="Arial" w:hAnsi="Arial"/>
          <w:b/>
          <w:bCs/>
          <w:color w:val="1B2A22"/>
          <w:sz w:val="24"/>
          <w:szCs w:val="24"/>
        </w:rPr>
        <w:t xml:space="preserve">1.1 Position in the project</w:t>
      </w:r>
    </w:p>
    <w:p>
      <w:pPr>
        <w:shd w:fill="F1F4F2" w:color="auto" w:val="clear"/>
        <w:spacing w:after="0"/>
      </w:pPr>
      <w:r>
        <w:rPr>
          <w:rFonts w:ascii="Courier New" w:cs="Courier New" w:eastAsia="Courier New" w:hAnsi="Courier New"/>
          <w:sz w:val="14"/>
          <w:szCs w:val="14"/>
        </w:rPr>
        <w:t xml:space="preserve">Code (all members) --&gt; [ CI/CD ] --&gt; [ Containers on Kubernetes / managed services ]</w:t>
      </w:r>
    </w:p>
    <w:p>
      <w:pPr>
        <w:shd w:fill="F1F4F2" w:color="auto" w:val="clear"/>
        <w:spacing w:after="0"/>
      </w:pPr>
      <w:r>
        <w:rPr>
          <w:rFonts w:ascii="Courier New" w:cs="Courier New" w:eastAsia="Courier New" w:hAnsi="Courier New"/>
          <w:sz w:val="14"/>
          <w:szCs w:val="14"/>
        </w:rPr>
        <w:t xml:space="preserve">                                        |-- PostGIS (managed) + object storage (imagery)</w:t>
      </w:r>
    </w:p>
    <w:p>
      <w:pPr>
        <w:shd w:fill="F1F4F2" w:color="auto" w:val="clear"/>
        <w:spacing w:after="0"/>
      </w:pPr>
      <w:r>
        <w:rPr>
          <w:rFonts w:ascii="Courier New" w:cs="Courier New" w:eastAsia="Courier New" w:hAnsi="Courier New"/>
          <w:sz w:val="14"/>
          <w:szCs w:val="14"/>
        </w:rPr>
        <w:t xml:space="preserve">                                        |-- API gateway + CDN for tiles and static UI</w:t>
      </w:r>
    </w:p>
    <w:p>
      <w:pPr>
        <w:shd w:fill="F1F4F2" w:color="auto" w:val="clear"/>
        <w:spacing w:after="0"/>
      </w:pPr>
      <w:r>
        <w:rPr>
          <w:rFonts w:ascii="Courier New" w:cs="Courier New" w:eastAsia="Courier New" w:hAnsi="Courier New"/>
          <w:sz w:val="14"/>
          <w:szCs w:val="14"/>
        </w:rPr>
        <w:t xml:space="preserve">                                        |-- Monitoring, logging, backup, secrets</w:t>
      </w:r>
    </w:p>
    <w:p>
      <w:pPr>
        <w:spacing w:after="120" w:line="276"/>
      </w:pPr>
      <w:r>
        <w:rPr>
          <w:rFonts w:ascii="Arial" w:cs="Arial" w:eastAsia="Arial" w:hAnsi="Arial"/>
          <w:sz w:val="21"/>
          <w:szCs w:val="21"/>
        </w:rPr>
        <w:t xml:space="preserve"/>
      </w:r>
    </w:p>
    <w:p>
      <w:pPr>
        <w:pStyle w:val="Heading1"/>
        <w:spacing w:after="140" w:before="320"/>
      </w:pPr>
      <w:r>
        <w:rPr>
          <w:rFonts w:ascii="Arial" w:cs="Arial" w:eastAsia="Arial" w:hAnsi="Arial"/>
          <w:b/>
          <w:bCs/>
          <w:color w:val="1F7A4D"/>
          <w:sz w:val="30"/>
          <w:szCs w:val="30"/>
        </w:rPr>
        <w:t xml:space="preserve">2. Objectives</w:t>
      </w:r>
    </w:p>
    <w:p>
      <w:pPr>
        <w:pStyle w:val="ListParagraph"/>
        <w:numPr>
          <w:ilvl w:val="0"/>
          <w:numId w:val="2"/>
        </w:numPr>
        <w:spacing w:after="60"/>
      </w:pPr>
      <w:r>
        <w:rPr>
          <w:rFonts w:ascii="Arial" w:cs="Arial" w:eastAsia="Arial" w:hAnsi="Arial"/>
          <w:sz w:val="21"/>
          <w:szCs w:val="21"/>
        </w:rPr>
        <w:t xml:space="preserve">Containerize every service and provide a one-command local environment.</w:t>
      </w:r>
    </w:p>
    <w:p>
      <w:pPr>
        <w:pStyle w:val="ListParagraph"/>
        <w:numPr>
          <w:ilvl w:val="0"/>
          <w:numId w:val="2"/>
        </w:numPr>
        <w:spacing w:after="60"/>
      </w:pPr>
      <w:r>
        <w:rPr>
          <w:rFonts w:ascii="Arial" w:cs="Arial" w:eastAsia="Arial" w:hAnsi="Arial"/>
          <w:sz w:val="21"/>
          <w:szCs w:val="21"/>
        </w:rPr>
        <w:t xml:space="preserve">Define infrastructure as code so environments are reproducible.</w:t>
      </w:r>
    </w:p>
    <w:p>
      <w:pPr>
        <w:pStyle w:val="ListParagraph"/>
        <w:numPr>
          <w:ilvl w:val="0"/>
          <w:numId w:val="2"/>
        </w:numPr>
        <w:spacing w:after="60"/>
      </w:pPr>
      <w:r>
        <w:rPr>
          <w:rFonts w:ascii="Arial" w:cs="Arial" w:eastAsia="Arial" w:hAnsi="Arial"/>
          <w:sz w:val="21"/>
          <w:szCs w:val="21"/>
        </w:rPr>
        <w:t xml:space="preserve">Build CI/CD pipelines for testing, security scanning and deployment.</w:t>
      </w:r>
    </w:p>
    <w:p>
      <w:pPr>
        <w:pStyle w:val="ListParagraph"/>
        <w:numPr>
          <w:ilvl w:val="0"/>
          <w:numId w:val="2"/>
        </w:numPr>
        <w:spacing w:after="60"/>
      </w:pPr>
      <w:r>
        <w:rPr>
          <w:rFonts w:ascii="Arial" w:cs="Arial" w:eastAsia="Arial" w:hAnsi="Arial"/>
          <w:sz w:val="21"/>
          <w:szCs w:val="21"/>
        </w:rPr>
        <w:t xml:space="preserve">Host managed PostGIS, object storage, API gateway, CDN and identity provider.</w:t>
      </w:r>
    </w:p>
    <w:p>
      <w:pPr>
        <w:pStyle w:val="ListParagraph"/>
        <w:numPr>
          <w:ilvl w:val="0"/>
          <w:numId w:val="2"/>
        </w:numPr>
        <w:spacing w:after="60"/>
      </w:pPr>
      <w:r>
        <w:rPr>
          <w:rFonts w:ascii="Arial" w:cs="Arial" w:eastAsia="Arial" w:hAnsi="Arial"/>
          <w:sz w:val="21"/>
          <w:szCs w:val="21"/>
        </w:rPr>
        <w:t xml:space="preserve">Provide observability: metrics, logs, dashboards and alerts.</w:t>
      </w:r>
    </w:p>
    <w:p>
      <w:pPr>
        <w:pStyle w:val="ListParagraph"/>
        <w:numPr>
          <w:ilvl w:val="0"/>
          <w:numId w:val="2"/>
        </w:numPr>
        <w:spacing w:after="60"/>
      </w:pPr>
      <w:r>
        <w:rPr>
          <w:rFonts w:ascii="Arial" w:cs="Arial" w:eastAsia="Arial" w:hAnsi="Arial"/>
          <w:sz w:val="21"/>
          <w:szCs w:val="21"/>
        </w:rPr>
        <w:t xml:space="preserve">Demonstrate scalability with load tests, and document backup and disaster recovery.</w:t>
      </w:r>
    </w:p>
    <w:p>
      <w:pPr>
        <w:pStyle w:val="ListParagraph"/>
        <w:numPr>
          <w:ilvl w:val="0"/>
          <w:numId w:val="2"/>
        </w:numPr>
        <w:spacing w:after="60"/>
      </w:pPr>
      <w:r>
        <w:rPr>
          <w:rFonts w:ascii="Arial" w:cs="Arial" w:eastAsia="Arial" w:hAnsi="Arial"/>
          <w:sz w:val="21"/>
          <w:szCs w:val="21"/>
        </w:rPr>
        <w:t xml:space="preserve">Provide GPU compute for AI/ML training and a hosting path for inference.</w:t>
      </w:r>
    </w:p>
    <w:p>
      <w:pPr>
        <w:pStyle w:val="Heading1"/>
        <w:spacing w:after="140" w:before="320"/>
      </w:pPr>
      <w:r>
        <w:rPr>
          <w:rFonts w:ascii="Arial" w:cs="Arial" w:eastAsia="Arial" w:hAnsi="Arial"/>
          <w:b/>
          <w:bCs/>
          <w:color w:val="1F7A4D"/>
          <w:sz w:val="30"/>
          <w:szCs w:val="30"/>
        </w:rPr>
        <w:t xml:space="preserve">3. Scope</w:t>
      </w:r>
    </w:p>
    <w:p>
      <w:pPr>
        <w:pStyle w:val="Heading2"/>
        <w:spacing w:after="100" w:before="220"/>
      </w:pPr>
      <w:r>
        <w:rPr>
          <w:rFonts w:ascii="Arial" w:cs="Arial" w:eastAsia="Arial" w:hAnsi="Arial"/>
          <w:b/>
          <w:bCs/>
          <w:color w:val="1B2A22"/>
          <w:sz w:val="24"/>
          <w:szCs w:val="24"/>
        </w:rPr>
        <w:t xml:space="preserve">3.1 In scope</w:t>
      </w:r>
    </w:p>
    <w:p>
      <w:pPr>
        <w:pStyle w:val="ListParagraph"/>
        <w:numPr>
          <w:ilvl w:val="0"/>
          <w:numId w:val="2"/>
        </w:numPr>
        <w:spacing w:after="60"/>
      </w:pPr>
      <w:r>
        <w:rPr>
          <w:rFonts w:ascii="Arial" w:cs="Arial" w:eastAsia="Arial" w:hAnsi="Arial"/>
          <w:sz w:val="21"/>
          <w:szCs w:val="21"/>
        </w:rPr>
        <w:t xml:space="preserve">Docker, Compose and Kubernetes manifests or Helm charts</w:t>
      </w:r>
    </w:p>
    <w:p>
      <w:pPr>
        <w:pStyle w:val="ListParagraph"/>
        <w:numPr>
          <w:ilvl w:val="0"/>
          <w:numId w:val="2"/>
        </w:numPr>
        <w:spacing w:after="60"/>
      </w:pPr>
      <w:r>
        <w:rPr>
          <w:rFonts w:ascii="Arial" w:cs="Arial" w:eastAsia="Arial" w:hAnsi="Arial"/>
          <w:sz w:val="21"/>
          <w:szCs w:val="21"/>
        </w:rPr>
        <w:t xml:space="preserve">Terraform or equivalent IaC</w:t>
      </w:r>
    </w:p>
    <w:p>
      <w:pPr>
        <w:pStyle w:val="ListParagraph"/>
        <w:numPr>
          <w:ilvl w:val="0"/>
          <w:numId w:val="2"/>
        </w:numPr>
        <w:spacing w:after="60"/>
      </w:pPr>
      <w:r>
        <w:rPr>
          <w:rFonts w:ascii="Arial" w:cs="Arial" w:eastAsia="Arial" w:hAnsi="Arial"/>
          <w:sz w:val="21"/>
          <w:szCs w:val="21"/>
        </w:rPr>
        <w:t xml:space="preserve">CI/CD pipelines</w:t>
      </w:r>
    </w:p>
    <w:p>
      <w:pPr>
        <w:pStyle w:val="ListParagraph"/>
        <w:numPr>
          <w:ilvl w:val="0"/>
          <w:numId w:val="2"/>
        </w:numPr>
        <w:spacing w:after="60"/>
      </w:pPr>
      <w:r>
        <w:rPr>
          <w:rFonts w:ascii="Arial" w:cs="Arial" w:eastAsia="Arial" w:hAnsi="Arial"/>
          <w:sz w:val="21"/>
          <w:szCs w:val="21"/>
        </w:rPr>
        <w:t xml:space="preserve">Networking, TLS, secrets, WAF-level protections</w:t>
      </w:r>
    </w:p>
    <w:p>
      <w:pPr>
        <w:pStyle w:val="ListParagraph"/>
        <w:numPr>
          <w:ilvl w:val="0"/>
          <w:numId w:val="2"/>
        </w:numPr>
        <w:spacing w:after="60"/>
      </w:pPr>
      <w:r>
        <w:rPr>
          <w:rFonts w:ascii="Arial" w:cs="Arial" w:eastAsia="Arial" w:hAnsi="Arial"/>
          <w:sz w:val="21"/>
          <w:szCs w:val="21"/>
        </w:rPr>
        <w:t xml:space="preserve">Monitoring and logging</w:t>
      </w:r>
    </w:p>
    <w:p>
      <w:pPr>
        <w:pStyle w:val="ListParagraph"/>
        <w:numPr>
          <w:ilvl w:val="0"/>
          <w:numId w:val="2"/>
        </w:numPr>
        <w:spacing w:after="60"/>
      </w:pPr>
      <w:r>
        <w:rPr>
          <w:rFonts w:ascii="Arial" w:cs="Arial" w:eastAsia="Arial" w:hAnsi="Arial"/>
          <w:sz w:val="21"/>
          <w:szCs w:val="21"/>
        </w:rPr>
        <w:t xml:space="preserve">Backup, restore and DR plan</w:t>
      </w:r>
    </w:p>
    <w:p>
      <w:pPr>
        <w:pStyle w:val="ListParagraph"/>
        <w:numPr>
          <w:ilvl w:val="0"/>
          <w:numId w:val="2"/>
        </w:numPr>
        <w:spacing w:after="60"/>
      </w:pPr>
      <w:r>
        <w:rPr>
          <w:rFonts w:ascii="Arial" w:cs="Arial" w:eastAsia="Arial" w:hAnsi="Arial"/>
          <w:sz w:val="21"/>
          <w:szCs w:val="21"/>
        </w:rPr>
        <w:t xml:space="preserve">Load testing and cost estimate</w:t>
      </w:r>
    </w:p>
    <w:p>
      <w:pPr>
        <w:pStyle w:val="Heading2"/>
        <w:spacing w:after="100" w:before="220"/>
      </w:pPr>
      <w:r>
        <w:rPr>
          <w:rFonts w:ascii="Arial" w:cs="Arial" w:eastAsia="Arial" w:hAnsi="Arial"/>
          <w:b/>
          <w:bCs/>
          <w:color w:val="1B2A22"/>
          <w:sz w:val="24"/>
          <w:szCs w:val="24"/>
        </w:rPr>
        <w:t xml:space="preserve">3.2 Out of scope</w:t>
      </w:r>
    </w:p>
    <w:p>
      <w:pPr>
        <w:pStyle w:val="ListParagraph"/>
        <w:numPr>
          <w:ilvl w:val="0"/>
          <w:numId w:val="2"/>
        </w:numPr>
        <w:spacing w:after="60"/>
      </w:pPr>
      <w:r>
        <w:rPr>
          <w:rFonts w:ascii="Arial" w:cs="Arial" w:eastAsia="Arial" w:hAnsi="Arial"/>
          <w:sz w:val="21"/>
          <w:szCs w:val="21"/>
        </w:rPr>
        <w:t xml:space="preserve">Application business logic</w:t>
      </w:r>
    </w:p>
    <w:p>
      <w:pPr>
        <w:pStyle w:val="ListParagraph"/>
        <w:numPr>
          <w:ilvl w:val="0"/>
          <w:numId w:val="2"/>
        </w:numPr>
        <w:spacing w:after="60"/>
      </w:pPr>
      <w:r>
        <w:rPr>
          <w:rFonts w:ascii="Arial" w:cs="Arial" w:eastAsia="Arial" w:hAnsi="Arial"/>
          <w:sz w:val="21"/>
          <w:szCs w:val="21"/>
        </w:rPr>
        <w:t xml:space="preserve">Model design (Member 5)</w:t>
      </w:r>
    </w:p>
    <w:p>
      <w:pPr>
        <w:pStyle w:val="ListParagraph"/>
        <w:numPr>
          <w:ilvl w:val="0"/>
          <w:numId w:val="2"/>
        </w:numPr>
        <w:spacing w:after="60"/>
      </w:pPr>
      <w:r>
        <w:rPr>
          <w:rFonts w:ascii="Arial" w:cs="Arial" w:eastAsia="Arial" w:hAnsi="Arial"/>
          <w:sz w:val="21"/>
          <w:szCs w:val="21"/>
        </w:rPr>
        <w:t xml:space="preserve">Application-level RBAC (Member 4)</w:t>
      </w:r>
    </w:p>
    <w:p>
      <w:pPr>
        <w:pStyle w:val="Heading1"/>
        <w:spacing w:after="140" w:before="320"/>
      </w:pPr>
      <w:r>
        <w:rPr>
          <w:rFonts w:ascii="Arial" w:cs="Arial" w:eastAsia="Arial" w:hAnsi="Arial"/>
          <w:b/>
          <w:bCs/>
          <w:color w:val="1F7A4D"/>
          <w:sz w:val="30"/>
          <w:szCs w:val="30"/>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Area</w:t>
            </w:r>
          </w:p>
        </w:tc>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Tools / Technology</w:t>
            </w:r>
          </w:p>
        </w:tc>
        <w:tc>
          <w:tcPr>
            <w:tcW w:type="dxa" w:w="40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Containers</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Docker, Docker Compose</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Packaging and local environment</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Orchestration</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Kubernetes (managed) with Helm</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Deployment, scaling, rolling updates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IaC</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Terraform</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Reproducible cloud resources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CI/CD</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GitHub Actions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Build, test, scan, deploy</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Observability</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Prometheus, Grafana, Loki</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Metrics, dashboards, logs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Security</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TLS, secrets manager, Trivy, network policies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Hardening and scanning</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Load testing</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k6</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Performance and scaling evidence</w:t>
            </w:r>
          </w:p>
        </w:tc>
      </w:tr>
    </w:tbl>
    <w:p>
      <w:pPr>
        <w:spacing w:after="120"/>
      </w:pPr>
    </w:p>
    <w:p>
      <w:pPr>
        <w:pStyle w:val="Heading1"/>
        <w:spacing w:after="140" w:before="320"/>
      </w:pPr>
      <w:r>
        <w:rPr>
          <w:rFonts w:ascii="Arial" w:cs="Arial" w:eastAsia="Arial" w:hAnsi="Arial"/>
          <w:b/>
          <w:bCs/>
          <w:color w:val="1F7A4D"/>
          <w:sz w:val="30"/>
          <w:szCs w:val="30"/>
        </w:rPr>
        <w:t xml:space="preserve">5. Modules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451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270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Output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Containerization</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Dockerfiles and Compose for frontend, API, mock APIs, PostGIS, tile server, Redis, identity provider, inference service</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Images and Compose file</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Infrastructure as code</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Network, cluster, managed database, storage, DNS and CDN</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Terraform modules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CI/CD</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Lint, test, build, image scan, deploy to staging and production</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Pipeline definitions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Data and storage</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Managed PostGIS with backups; object storage for imagery and model files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Configured services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Security</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TLS, secrets management, network policies, least-privilege access, image scanning</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Security configuration</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Observability</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Dashboards for API latency, errors, DB load, tile performance; alerts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Monitoring stack</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Reliability</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Autoscaling, health checks, backup and restore test, DR plan</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Runbooks and DR document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ML compute</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GPU instances for training and a container for inference</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GPU environment</w:t>
            </w:r>
          </w:p>
        </w:tc>
      </w:tr>
    </w:tbl>
    <w:p>
      <w:pPr>
        <w:spacing w:after="120"/>
      </w:pPr>
    </w:p>
    <w:p>
      <w:pPr>
        <w:pStyle w:val="Heading2"/>
        <w:spacing w:after="100" w:before="220"/>
      </w:pPr>
      <w:r>
        <w:rPr>
          <w:rFonts w:ascii="Arial" w:cs="Arial" w:eastAsia="Arial" w:hAnsi="Arial"/>
          <w:b/>
          <w:bCs/>
          <w:color w:val="1B2A22"/>
          <w:sz w:val="24"/>
          <w:szCs w:val="24"/>
        </w:rPr>
        <w:t xml:space="preserve">5.1 Environments</w:t>
      </w:r>
    </w:p>
    <w:p>
      <w:pPr>
        <w:pStyle w:val="ListParagraph"/>
        <w:numPr>
          <w:ilvl w:val="0"/>
          <w:numId w:val="2"/>
        </w:numPr>
        <w:spacing w:after="60"/>
      </w:pPr>
      <w:r>
        <w:rPr>
          <w:rFonts w:ascii="Arial" w:cs="Arial" w:eastAsia="Arial" w:hAnsi="Arial"/>
          <w:sz w:val="21"/>
          <w:szCs w:val="21"/>
        </w:rPr>
        <w:t xml:space="preserve">Local: Docker Compose for developers.</w:t>
      </w:r>
    </w:p>
    <w:p>
      <w:pPr>
        <w:pStyle w:val="ListParagraph"/>
        <w:numPr>
          <w:ilvl w:val="0"/>
          <w:numId w:val="2"/>
        </w:numPr>
        <w:spacing w:after="60"/>
      </w:pPr>
      <w:r>
        <w:rPr>
          <w:rFonts w:ascii="Arial" w:cs="Arial" w:eastAsia="Arial" w:hAnsi="Arial"/>
          <w:sz w:val="21"/>
          <w:szCs w:val="21"/>
        </w:rPr>
        <w:t xml:space="preserve">Staging: automated deployment from the main branch for integration testing.</w:t>
      </w:r>
    </w:p>
    <w:p>
      <w:pPr>
        <w:pStyle w:val="ListParagraph"/>
        <w:numPr>
          <w:ilvl w:val="0"/>
          <w:numId w:val="2"/>
        </w:numPr>
        <w:spacing w:after="60"/>
      </w:pPr>
      <w:r>
        <w:rPr>
          <w:rFonts w:ascii="Arial" w:cs="Arial" w:eastAsia="Arial" w:hAnsi="Arial"/>
          <w:sz w:val="21"/>
          <w:szCs w:val="21"/>
        </w:rPr>
        <w:t xml:space="preserve">Production-like demo: tagged releases with monitoring and backups enabled.</w:t>
      </w:r>
    </w:p>
    <w:p>
      <w:pPr>
        <w:pStyle w:val="Heading2"/>
        <w:spacing w:after="100" w:before="220"/>
      </w:pPr>
      <w:r>
        <w:rPr>
          <w:rFonts w:ascii="Arial" w:cs="Arial" w:eastAsia="Arial" w:hAnsi="Arial"/>
          <w:b/>
          <w:bCs/>
          <w:color w:val="1B2A22"/>
          <w:sz w:val="24"/>
          <w:szCs w:val="24"/>
        </w:rPr>
        <w:t xml:space="preserve">5.2 Scalability evidence</w:t>
      </w:r>
    </w:p>
    <w:p>
      <w:pPr>
        <w:spacing w:after="120" w:line="276"/>
      </w:pPr>
      <w:r>
        <w:rPr>
          <w:rFonts w:ascii="Arial" w:cs="Arial" w:eastAsia="Arial" w:hAnsi="Arial"/>
          <w:sz w:val="21"/>
          <w:szCs w:val="21"/>
        </w:rPr>
        <w:t xml:space="preserve">Use k6 to load test the parcel lookup, search and tile endpoints, and report requests per second, latency percentiles and error rates at increasing load. Show horizontal scaling by increasing API replicas and reporting the effect.</w:t>
      </w:r>
    </w:p>
    <w:p>
      <w:pPr>
        <w:pStyle w:val="Heading2"/>
        <w:spacing w:after="100" w:before="220"/>
      </w:pPr>
      <w:r>
        <w:rPr>
          <w:rFonts w:ascii="Arial" w:cs="Arial" w:eastAsia="Arial" w:hAnsi="Arial"/>
          <w:b/>
          <w:bCs/>
          <w:color w:val="1B2A22"/>
          <w:sz w:val="24"/>
          <w:szCs w:val="24"/>
        </w:rPr>
        <w:t xml:space="preserve">5.3 Compliance and data considerations</w:t>
      </w:r>
    </w:p>
    <w:p>
      <w:pPr>
        <w:spacing w:after="120" w:line="276"/>
      </w:pPr>
      <w:r>
        <w:rPr>
          <w:rFonts w:ascii="Arial" w:cs="Arial" w:eastAsia="Arial" w:hAnsi="Arial"/>
          <w:sz w:val="21"/>
          <w:szCs w:val="21"/>
        </w:rPr>
        <w:t xml:space="preserve">A real deployment would need data-localisation and government cloud requirements, access controls and audit retention. The prototype uses only public and synthetic data, and the report should document what would change for a production deployment.</w:t>
      </w:r>
    </w:p>
    <w:p>
      <w:pPr>
        <w:pStyle w:val="Heading1"/>
        <w:spacing w:after="140" w:before="320"/>
      </w:pPr>
      <w:r>
        <w:rPr>
          <w:rFonts w:ascii="Arial" w:cs="Arial" w:eastAsia="Arial" w:hAnsi="Arial"/>
          <w:b/>
          <w:bCs/>
          <w:color w:val="1F7A4D"/>
          <w:sz w:val="30"/>
          <w:szCs w:val="30"/>
        </w:rPr>
        <w:t xml:space="preserve">6. Datasets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Dataset</w:t>
            </w:r>
          </w:p>
        </w:tc>
        <w:tc>
          <w:tcPr>
            <w:tcW w:type="dxa" w:w="601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How it is used in this role</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dataset and imagery (large files)</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Storage sizing, transfer, backup and lifecycle policies</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Synthetic departmental data</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Seeded into staging automatically</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Model artifacts (Member 5)</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Stored in object storage and versioned</w:t>
            </w:r>
          </w:p>
        </w:tc>
      </w:tr>
    </w:tbl>
    <w:p>
      <w:pPr>
        <w:spacing w:after="120"/>
      </w:pPr>
    </w:p>
    <w:p>
      <w:pPr>
        <w:pStyle w:val="Heading1"/>
        <w:spacing w:after="140" w:before="320"/>
      </w:pPr>
      <w:r>
        <w:rPr>
          <w:rFonts w:ascii="Arial" w:cs="Arial" w:eastAsia="Arial" w:hAnsi="Arial"/>
          <w:b/>
          <w:bCs/>
          <w:color w:val="1F7A4D"/>
          <w:sz w:val="30"/>
          <w:szCs w:val="30"/>
        </w:rPr>
        <w:t xml:space="preserve">7. Interfaces with Other 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With</w:t>
            </w:r>
          </w:p>
        </w:tc>
        <w:tc>
          <w:tcPr>
            <w:tcW w:type="dxa" w:w="3610"/>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provides</w:t>
            </w:r>
          </w:p>
        </w:tc>
        <w:tc>
          <w:tcPr>
            <w:tcW w:type="dxa" w:w="36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needs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1 (Frontend)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Static hosting, CDN, build pipeline</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Build artifacts and environment variables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2 (Backend)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Gateway hosting, scaling, health checks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Dockerfiles, configuration, health endpoints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3 (Database)</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Managed PostGIS, backups, storage</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Sizing, extensions, backup requirements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4 (Security/Officer)</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Identity provider hosting, TLS, secrets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Security requirements, callback URLs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5 (AI/ML)</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GPU compute and inference hosting</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Model packaging, resource needs</w:t>
            </w:r>
          </w:p>
        </w:tc>
      </w:tr>
    </w:tbl>
    <w:p>
      <w:pPr>
        <w:spacing w:after="120"/>
      </w:pPr>
    </w:p>
    <w:p>
      <w:pPr>
        <w:pStyle w:val="Heading1"/>
        <w:spacing w:after="140" w:before="320"/>
      </w:pPr>
      <w:r>
        <w:rPr>
          <w:rFonts w:ascii="Arial" w:cs="Arial" w:eastAsia="Arial" w:hAnsi="Arial"/>
          <w:b/>
          <w:bCs/>
          <w:color w:val="1F7A4D"/>
          <w:sz w:val="30"/>
          <w:szCs w:val="30"/>
        </w:rPr>
        <w:t xml:space="preserve">8. Work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631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90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Weeks</w:t>
            </w:r>
          </w:p>
        </w:tc>
        <w:tc>
          <w:tcPr>
            <w:tcW w:type="dxa" w:w="631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Tasks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Design</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4-6</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Target architecture diagram, environment plan, cost estimate, tool choices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Foundation</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7-8</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Compose file, CI pipeline, IaC for network, storage and cluster</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Core services</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8-12</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Managed PostGIS, gateway, CDN, identity provider, secrets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Observability and security</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11-14</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Dashboards, alerts, scanning, network policies, backups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GPU and ML hosting</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11-14</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Training environment and inference deployment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Validate</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15-17</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Load tests, autoscaling test, restore test, DR drill</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Document</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17-18</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Runbooks, deployment guide, cost report</w:t>
            </w:r>
          </w:p>
        </w:tc>
      </w:tr>
    </w:tbl>
    <w:p>
      <w:pPr>
        <w:spacing w:after="120"/>
      </w:pPr>
    </w:p>
    <w:p>
      <w:pPr>
        <w:pStyle w:val="Heading1"/>
        <w:spacing w:after="140" w:before="320"/>
      </w:pPr>
      <w:r>
        <w:rPr>
          <w:rFonts w:ascii="Arial" w:cs="Arial" w:eastAsia="Arial" w:hAnsi="Arial"/>
          <w:b/>
          <w:bCs/>
          <w:color w:val="1F7A4D"/>
          <w:sz w:val="30"/>
          <w:szCs w:val="30"/>
        </w:rPr>
        <w:t xml:space="preserve">9. Acceptance Criteria</w:t>
      </w:r>
    </w:p>
    <w:p>
      <w:pPr>
        <w:pStyle w:val="ListParagraph"/>
        <w:numPr>
          <w:ilvl w:val="0"/>
          <w:numId w:val="2"/>
        </w:numPr>
        <w:spacing w:after="60"/>
      </w:pPr>
      <w:r>
        <w:rPr>
          <w:rFonts w:ascii="Arial" w:cs="Arial" w:eastAsia="Arial" w:hAnsi="Arial"/>
          <w:sz w:val="21"/>
          <w:szCs w:val="21"/>
        </w:rPr>
        <w:t xml:space="preserve">A new environment can be created from code with one documented procedure.</w:t>
      </w:r>
    </w:p>
    <w:p>
      <w:pPr>
        <w:pStyle w:val="ListParagraph"/>
        <w:numPr>
          <w:ilvl w:val="0"/>
          <w:numId w:val="2"/>
        </w:numPr>
        <w:spacing w:after="60"/>
      </w:pPr>
      <w:r>
        <w:rPr>
          <w:rFonts w:ascii="Arial" w:cs="Arial" w:eastAsia="Arial" w:hAnsi="Arial"/>
          <w:sz w:val="21"/>
          <w:szCs w:val="21"/>
        </w:rPr>
        <w:t xml:space="preserve">CI runs tests and security scans on every pull request and deploys staging automatically.</w:t>
      </w:r>
    </w:p>
    <w:p>
      <w:pPr>
        <w:pStyle w:val="ListParagraph"/>
        <w:numPr>
          <w:ilvl w:val="0"/>
          <w:numId w:val="2"/>
        </w:numPr>
        <w:spacing w:after="60"/>
      </w:pPr>
      <w:r>
        <w:rPr>
          <w:rFonts w:ascii="Arial" w:cs="Arial" w:eastAsia="Arial" w:hAnsi="Arial"/>
          <w:sz w:val="21"/>
          <w:szCs w:val="21"/>
        </w:rPr>
        <w:t xml:space="preserve">Dashboards show latency, error rate and resource use for all services.</w:t>
      </w:r>
    </w:p>
    <w:p>
      <w:pPr>
        <w:pStyle w:val="ListParagraph"/>
        <w:numPr>
          <w:ilvl w:val="0"/>
          <w:numId w:val="2"/>
        </w:numPr>
        <w:spacing w:after="60"/>
      </w:pPr>
      <w:r>
        <w:rPr>
          <w:rFonts w:ascii="Arial" w:cs="Arial" w:eastAsia="Arial" w:hAnsi="Arial"/>
          <w:sz w:val="21"/>
          <w:szCs w:val="21"/>
        </w:rPr>
        <w:t xml:space="preserve">Database restore from backup is tested and documented.</w:t>
      </w:r>
    </w:p>
    <w:p>
      <w:pPr>
        <w:pStyle w:val="ListParagraph"/>
        <w:numPr>
          <w:ilvl w:val="0"/>
          <w:numId w:val="2"/>
        </w:numPr>
        <w:spacing w:after="60"/>
      </w:pPr>
      <w:r>
        <w:rPr>
          <w:rFonts w:ascii="Arial" w:cs="Arial" w:eastAsia="Arial" w:hAnsi="Arial"/>
          <w:sz w:val="21"/>
          <w:szCs w:val="21"/>
        </w:rPr>
        <w:t xml:space="preserve">Load test results and scaling behaviour are reported.</w:t>
      </w:r>
    </w:p>
    <w:p>
      <w:pPr>
        <w:pStyle w:val="ListParagraph"/>
        <w:numPr>
          <w:ilvl w:val="0"/>
          <w:numId w:val="2"/>
        </w:numPr>
        <w:spacing w:after="60"/>
      </w:pPr>
      <w:r>
        <w:rPr>
          <w:rFonts w:ascii="Arial" w:cs="Arial" w:eastAsia="Arial" w:hAnsi="Arial"/>
          <w:sz w:val="21"/>
          <w:szCs w:val="21"/>
        </w:rPr>
        <w:t xml:space="preserve">No secrets are stored in the code repository.</w:t>
      </w:r>
    </w:p>
    <w:p>
      <w:pPr>
        <w:pStyle w:val="Heading1"/>
        <w:spacing w:after="140" w:before="320"/>
      </w:pPr>
      <w:r>
        <w:rPr>
          <w:rFonts w:ascii="Arial" w:cs="Arial" w:eastAsia="Arial" w:hAnsi="Arial"/>
          <w:b/>
          <w:bCs/>
          <w:color w:val="1F7A4D"/>
          <w:sz w:val="30"/>
          <w:szCs w:val="30"/>
        </w:rPr>
        <w:t xml:space="preserve">10.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tblHeader/>
        </w:trPr>
        <w:tc>
          <w:tcPr>
            <w:tcW w:type="dxa" w:w="4012"/>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5014"/>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Cloud cost overruns</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Budgets and alerts, scale-to-zero for staging, small instance sizes, free credits</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Configuration drift</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Everything through IaC and CI/CD, no manual changes</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Large imagery transfer and storage cost</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Use only the study area, lifecycle rules, compression</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Integration delays across the team</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Provide the Compose environment early so all members develop against the same setup</w:t>
            </w:r>
          </w:p>
        </w:tc>
      </w:tr>
    </w:tbl>
    <w:p>
      <w:pPr>
        <w:spacing w:after="120"/>
      </w:pPr>
    </w:p>
    <w:p>
      <w:pPr>
        <w:pStyle w:val="Heading1"/>
        <w:spacing w:after="140" w:before="320"/>
      </w:pPr>
      <w:r>
        <w:rPr>
          <w:rFonts w:ascii="Arial" w:cs="Arial" w:eastAsia="Arial" w:hAnsi="Arial"/>
          <w:b/>
          <w:bCs/>
          <w:color w:val="1F7A4D"/>
          <w:sz w:val="30"/>
          <w:szCs w:val="30"/>
        </w:rPr>
        <w:t xml:space="preserve">11. Contribution to Project Goals</w:t>
      </w:r>
    </w:p>
    <w:p>
      <w:pPr>
        <w:spacing w:after="120" w:line="276"/>
      </w:pPr>
      <w:r>
        <w:rPr>
          <w:rFonts w:ascii="Arial" w:cs="Arial" w:eastAsia="Arial" w:hAnsi="Arial"/>
          <w:sz w:val="21"/>
          <w:szCs w:val="21"/>
        </w:rPr>
        <w:t xml:space="preserve">A cloud-native, scalable deployment supports the project claim that the architecture is replicable and scalable. It supports SDG 9.1 (resilient infrastructure), SDG 9.c (accessible ICT services), and SDG 16.6 by making the platform reliable and monitored.</w:t>
      </w:r>
    </w:p>
    <w:p>
      <w:pPr>
        <w:pStyle w:val="Heading1"/>
        <w:spacing w:after="140" w:before="320"/>
      </w:pPr>
      <w:r>
        <w:rPr>
          <w:rFonts w:ascii="Arial" w:cs="Arial" w:eastAsia="Arial" w:hAnsi="Arial"/>
          <w:b/>
          <w:bCs/>
          <w:color w:val="1F7A4D"/>
          <w:sz w:val="30"/>
          <w:szCs w:val="30"/>
        </w:rPr>
        <w:t xml:space="preserve">12. Skills and Learning Outcomes</w:t>
      </w:r>
    </w:p>
    <w:p>
      <w:pPr>
        <w:pStyle w:val="ListParagraph"/>
        <w:numPr>
          <w:ilvl w:val="0"/>
          <w:numId w:val="2"/>
        </w:numPr>
        <w:spacing w:after="60"/>
      </w:pPr>
      <w:r>
        <w:rPr>
          <w:rFonts w:ascii="Arial" w:cs="Arial" w:eastAsia="Arial" w:hAnsi="Arial"/>
          <w:sz w:val="21"/>
          <w:szCs w:val="21"/>
        </w:rPr>
        <w:t xml:space="preserve">Kubernetes, Docker and IaC</w:t>
      </w:r>
    </w:p>
    <w:p>
      <w:pPr>
        <w:pStyle w:val="ListParagraph"/>
        <w:numPr>
          <w:ilvl w:val="0"/>
          <w:numId w:val="2"/>
        </w:numPr>
        <w:spacing w:after="60"/>
      </w:pPr>
      <w:r>
        <w:rPr>
          <w:rFonts w:ascii="Arial" w:cs="Arial" w:eastAsia="Arial" w:hAnsi="Arial"/>
          <w:sz w:val="21"/>
          <w:szCs w:val="21"/>
        </w:rPr>
        <w:t xml:space="preserve">CI/CD and DevSecOps</w:t>
      </w:r>
    </w:p>
    <w:p>
      <w:pPr>
        <w:pStyle w:val="ListParagraph"/>
        <w:numPr>
          <w:ilvl w:val="0"/>
          <w:numId w:val="2"/>
        </w:numPr>
        <w:spacing w:after="60"/>
      </w:pPr>
      <w:r>
        <w:rPr>
          <w:rFonts w:ascii="Arial" w:cs="Arial" w:eastAsia="Arial" w:hAnsi="Arial"/>
          <w:sz w:val="21"/>
          <w:szCs w:val="21"/>
        </w:rPr>
        <w:t xml:space="preserve">Observability and reliability engineering</w:t>
      </w:r>
    </w:p>
    <w:p>
      <w:pPr>
        <w:pStyle w:val="ListParagraph"/>
        <w:numPr>
          <w:ilvl w:val="0"/>
          <w:numId w:val="2"/>
        </w:numPr>
        <w:spacing w:after="60"/>
      </w:pPr>
      <w:r>
        <w:rPr>
          <w:rFonts w:ascii="Arial" w:cs="Arial" w:eastAsia="Arial" w:hAnsi="Arial"/>
          <w:sz w:val="21"/>
          <w:szCs w:val="21"/>
        </w:rPr>
        <w:t xml:space="preserve">Cloud cost and capacity planning</w:t>
      </w:r>
    </w:p>
    <w:p>
      <w:pPr>
        <w:pStyle w:val="Heading1"/>
        <w:spacing w:after="140" w:before="320"/>
      </w:pPr>
      <w:r>
        <w:rPr>
          <w:rFonts w:ascii="Arial" w:cs="Arial" w:eastAsia="Arial" w:hAnsi="Arial"/>
          <w:b/>
          <w:bCs/>
          <w:color w:val="1F7A4D"/>
          <w:sz w:val="30"/>
          <w:szCs w:val="30"/>
        </w:rPr>
        <w:t xml:space="preserve">References</w:t>
      </w:r>
    </w:p>
    <w:p>
      <w:pPr>
        <w:pStyle w:val="ListParagraph"/>
        <w:numPr>
          <w:ilvl w:val="0"/>
          <w:numId w:val="2"/>
        </w:numPr>
        <w:spacing w:after="60"/>
      </w:pPr>
      <w:r>
        <w:rPr>
          <w:rFonts w:ascii="Arial" w:cs="Arial" w:eastAsia="Arial" w:hAnsi="Arial"/>
          <w:sz w:val="21"/>
          <w:szCs w:val="21"/>
        </w:rPr>
        <w:t xml:space="preserve">PIB (May 2026), Land Stack Initiative to Usher in Transparent and Citizen-Centric Land Management. https://www.pib.gov.in/PressReleasePage.aspx?PRID=2259050</w:t>
      </w:r>
    </w:p>
    <w:p>
      <w:pPr>
        <w:pStyle w:val="ListParagraph"/>
        <w:numPr>
          <w:ilvl w:val="0"/>
          <w:numId w:val="2"/>
        </w:numPr>
        <w:spacing w:after="60"/>
      </w:pPr>
      <w:r>
        <w:rPr>
          <w:rFonts w:ascii="Arial" w:cs="Arial" w:eastAsia="Arial" w:hAnsi="Arial"/>
          <w:sz w:val="21"/>
          <w:szCs w:val="21"/>
        </w:rPr>
        <w:t xml:space="preserve">PIB (Dec 2025), National Symposium on Naksha and LandStack. https://www.pib.gov.in/PressReleasePage.aspx?PRID=2197439</w:t>
      </w:r>
    </w:p>
    <w:p>
      <w:pPr>
        <w:pStyle w:val="ListParagraph"/>
        <w:numPr>
          <w:ilvl w:val="0"/>
          <w:numId w:val="2"/>
        </w:numPr>
        <w:spacing w:after="60"/>
      </w:pPr>
      <w:r>
        <w:rPr>
          <w:rFonts w:ascii="Arial" w:cs="Arial" w:eastAsia="Arial" w:hAnsi="Arial"/>
          <w:sz w:val="21"/>
          <w:szCs w:val="21"/>
        </w:rPr>
        <w:t xml:space="preserve">PIB (Sept 2026), Operational Guidelines for DILRMP 3.0. https://www.pib.gov.in/PressReleaseIframePage.aspx?PRID=2308504</w:t>
      </w:r>
    </w:p>
    <w:p>
      <w:pPr>
        <w:pStyle w:val="ListParagraph"/>
        <w:numPr>
          <w:ilvl w:val="0"/>
          <w:numId w:val="2"/>
        </w:numPr>
        <w:spacing w:after="60"/>
      </w:pPr>
      <w:r>
        <w:rPr>
          <w:rFonts w:ascii="Arial" w:cs="Arial" w:eastAsia="Arial" w:hAnsi="Arial"/>
          <w:sz w:val="21"/>
          <w:szCs w:val="21"/>
        </w:rPr>
        <w:t xml:space="preserve">PIB (May 2026), Land Stack as next layer of Digital Public Infrastructure. https://www.pib.gov.in/PressReleasePage.aspx?PRID=2263740</w:t>
      </w:r>
    </w:p>
    <w:p>
      <w:pPr>
        <w:pStyle w:val="ListParagraph"/>
        <w:numPr>
          <w:ilvl w:val="0"/>
          <w:numId w:val="2"/>
        </w:numPr>
        <w:spacing w:after="60"/>
      </w:pPr>
      <w:r>
        <w:rPr>
          <w:rFonts w:ascii="Arial" w:cs="Arial" w:eastAsia="Arial" w:hAnsi="Arial"/>
          <w:sz w:val="21"/>
          <w:szCs w:val="21"/>
        </w:rPr>
        <w:t xml:space="preserve">PIB (Aug 2026), Bharat Land Stack and Bhu-Aadhaar. https://www.pib.gov.in/PressReleasePage.aspx?PRID=2303882</w:t>
      </w:r>
    </w:p>
    <w:p>
      <w:pPr>
        <w:pStyle w:val="ListParagraph"/>
        <w:numPr>
          <w:ilvl w:val="0"/>
          <w:numId w:val="2"/>
        </w:numPr>
        <w:spacing w:after="60"/>
      </w:pPr>
      <w:r>
        <w:rPr>
          <w:rFonts w:ascii="Arial" w:cs="Arial" w:eastAsia="Arial" w:hAnsi="Arial"/>
          <w:sz w:val="21"/>
          <w:szCs w:val="21"/>
        </w:rPr>
        <w:t xml:space="preserve">DoLR, DILRMP / ULPIN page. https://dolr.gov.in/en/department-of-land-resources-govt-of-india-is-implementing-digital-india-land-records-modernization-program-through-state-ut-governments/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56C"/>
        <w:sz w:val="16"/>
        <w:szCs w:val="16"/>
      </w:rPr>
      <w:t xml:space="preserve">Page </w:t>
    </w:r>
    <w:r>
      <w:rPr>
        <w:rFonts w:ascii="Arial" w:cs="Arial" w:eastAsia="Arial" w:hAnsi="Arial"/>
        <w:color w:val="6675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756C"/>
        <w:sz w:val="16"/>
        <w:szCs w:val="16"/>
      </w:rPr>
      <w:t xml:space="preserve">Land Stack | Report 6: Cloud, DevOps and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2026-09-29T07:30:31.169Z</dcterms:created>
  <dcterms:modified xsi:type="dcterms:W3CDTF">2026-09-29T07:30:31.169Z</dcterms:modified>
</cp:coreProperties>
</file>

<file path=docProps/custom.xml><?xml version="1.0" encoding="utf-8"?>
<Properties xmlns="http://schemas.openxmlformats.org/officeDocument/2006/custom-properties" xmlns:vt="http://schemas.openxmlformats.org/officeDocument/2006/docPropsVTypes"/>
</file>