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C2B4A"/>
          <w:sz w:val="40"/>
          <w:szCs w:val="40"/>
        </w:rPr>
        <w:t xml:space="preserve">Phishing Threat Taxonomy</w:t>
      </w:r>
    </w:p>
    <w:p>
      <w:pPr>
        <w:spacing w:after="60" w:before="0"/>
        <w:jc w:val="center"/>
      </w:pPr>
      <w:r>
        <w:rPr>
          <w:rFonts w:ascii="Arial" w:cs="Arial" w:eastAsia="Arial" w:hAnsi="Arial"/>
          <w:color w:val="555555"/>
          <w:sz w:val="22"/>
          <w:szCs w:val="22"/>
        </w:rPr>
        <w:t xml:space="preserve">A Structured Analysis of Spear Phishing, Whaling, Broad-Based SPAM &amp; Industry-Targeted Attacks</w:t>
      </w:r>
    </w:p>
    <w:p>
      <w:pPr>
        <w:spacing w:after="300" w:before="0"/>
        <w:jc w:val="center"/>
      </w:pPr>
      <w:r>
        <w:rPr>
          <w:rFonts w:ascii="Arial" w:cs="Arial" w:eastAsia="Arial" w:hAnsi="Arial"/>
          <w:i/>
          <w:iCs/>
          <w:color w:val="555555"/>
          <w:sz w:val="18"/>
          <w:szCs w:val="18"/>
        </w:rPr>
        <w:t xml:space="preserve">Kunal Makar  |  Self-Directed Security Analysis Project  |  Synthetic examples constructed for study purposes</w:t>
      </w:r>
    </w:p>
    <w:p>
      <w:pPr>
        <w:pStyle w:val="Heading1"/>
        <w:pBdr>
          <w:bottom w:val="single" w:color="1C2B4A" w:sz="10" w:space="4"/>
        </w:pBdr>
        <w:spacing w:after="160" w:before="360"/>
      </w:pPr>
      <w:r>
        <w:rPr>
          <w:rFonts w:ascii="Arial" w:cs="Arial" w:eastAsia="Arial" w:hAnsi="Arial"/>
          <w:b/>
          <w:bCs/>
          <w:color w:val="1C2B4A"/>
          <w:sz w:val="30"/>
          <w:szCs w:val="30"/>
        </w:rPr>
        <w:t xml:space="preserve">Purpose</w:t>
      </w:r>
    </w:p>
    <w:p>
      <w:pPr>
        <w:spacing w:after="120" w:before="60"/>
      </w:pPr>
      <w:r>
        <w:rPr>
          <w:rFonts w:ascii="Arial" w:cs="Arial" w:eastAsia="Arial" w:hAnsi="Arial"/>
          <w:i w:val="false"/>
          <w:iCs w:val="false"/>
          <w:color w:val="1A1A1A"/>
          <w:sz w:val="20"/>
          <w:szCs w:val="20"/>
        </w:rPr>
        <w:t xml:space="preserve">This document classifies the four primary phishing threat types referenced in SOC and cyber operations job descriptions — broad-based SPAM, targeted spear phishing, whaling, and industry-targeted phishing — and demonstrates a structured investigation methodology against one representative example of each. Each example is a synthetic (self-written) email constructed to illustrate realistic attacker tradecraft without reproducing any real organisation, person, or live malicious infrastructure.</w:t>
      </w:r>
    </w:p>
    <w:p>
      <w:pPr>
        <w:spacing w:after="120" w:before="60"/>
      </w:pPr>
      <w:r>
        <w:rPr>
          <w:rFonts w:ascii="Arial" w:cs="Arial" w:eastAsia="Arial" w:hAnsi="Arial"/>
          <w:i w:val="false"/>
          <w:iCs w:val="false"/>
          <w:color w:val="1A1A1A"/>
          <w:sz w:val="20"/>
          <w:szCs w:val="20"/>
        </w:rPr>
        <w:t xml:space="preserve">The goal is to move beyond memorised definitions and demonstrate the analytical process: how an analyst would actually distinguish one phishing type from another using observable indicators, and what specific signals justify each classification decision.</w:t>
      </w:r>
    </w:p>
    <w:p>
      <w:pPr>
        <w:pStyle w:val="Heading1"/>
        <w:pBdr>
          <w:bottom w:val="single" w:color="1C2B4A" w:sz="10" w:space="4"/>
        </w:pBdr>
        <w:spacing w:after="160" w:before="360"/>
      </w:pPr>
      <w:r>
        <w:rPr>
          <w:rFonts w:ascii="Arial" w:cs="Arial" w:eastAsia="Arial" w:hAnsi="Arial"/>
          <w:b/>
          <w:bCs/>
          <w:color w:val="1C2B4A"/>
          <w:sz w:val="30"/>
          <w:szCs w:val="30"/>
        </w:rPr>
        <w:t xml:space="preserve">Taxonomy Overview</w:t>
      </w:r>
    </w:p>
    <w:p>
      <w:pPr>
        <w:spacing w:after="120" w:before="60"/>
      </w:pPr>
      <w:r>
        <w:rPr>
          <w:rFonts w:ascii="Arial" w:cs="Arial" w:eastAsia="Arial" w:hAnsi="Arial"/>
          <w:i w:val="false"/>
          <w:iCs w:val="false"/>
          <w:color w:val="1A1A1A"/>
          <w:sz w:val="20"/>
          <w:szCs w:val="20"/>
        </w:rPr>
        <w:t xml:space="preserve">The four phishing types differ primarily along two axes: how precisely targeted the attack is, and what level of authority or urgency the attacker tries to manufacture. Broad-based SPAM sits at the low-precision, low-authority end — it is designed to work against very large numbers of recipients with minimal customisation. Whaling sits at the opposite end — highly targeted, with manufactured authority and urgency specifically calibrated to bypass an executive's normal scepticism.</w:t>
      </w:r>
    </w:p>
    <w:p>
      <w:pPr>
        <w:spacing w:after="120" w:before="60"/>
      </w:pPr>
      <w:r>
        <w:rPr>
          <w:rFonts w:ascii="Arial" w:cs="Arial" w:eastAsia="Arial" w:hAnsi="Arial"/>
          <w:i/>
          <w:iCs/>
          <w:color w:val="1A1A1A"/>
          <w:sz w:val="20"/>
          <w:szCs w:val="20"/>
        </w:rPr>
        <w:t xml:space="preserve">The table below summarises the distinguishing characteristics used throughout this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460"/>
      </w:tblGrid>
      <w:tr>
        <w:tc>
          <w:tcPr>
            <w:tcW w:type="dxa" w:w="2200"/>
            <w:shd w:fill="1C2B4A" w:val="clear"/>
            <w:tcMar>
              <w:top w:type="dxa" w:w="100"/>
              <w:left w:type="dxa" w:w="120"/>
              <w:bottom w:type="dxa" w:w="100"/>
              <w:right w:type="dxa" w:w="120"/>
            </w:tcMar>
          </w:tcPr>
          <w:p>
            <w:r>
              <w:rPr>
                <w:rFonts w:ascii="Arial" w:cs="Arial" w:eastAsia="Arial" w:hAnsi="Arial"/>
                <w:b/>
                <w:bCs/>
                <w:color w:val="FFFFFF"/>
                <w:sz w:val="19"/>
                <w:szCs w:val="19"/>
              </w:rPr>
              <w:t xml:space="preserve">Type</w:t>
            </w:r>
          </w:p>
        </w:tc>
        <w:tc>
          <w:tcPr>
            <w:tcW w:type="dxa" w:w="2300"/>
            <w:shd w:fill="1C2B4A" w:val="clear"/>
            <w:tcMar>
              <w:top w:type="dxa" w:w="100"/>
              <w:left w:type="dxa" w:w="120"/>
              <w:bottom w:type="dxa" w:w="100"/>
              <w:right w:type="dxa" w:w="120"/>
            </w:tcMar>
          </w:tcPr>
          <w:p>
            <w:r>
              <w:rPr>
                <w:rFonts w:ascii="Arial" w:cs="Arial" w:eastAsia="Arial" w:hAnsi="Arial"/>
                <w:b/>
                <w:bCs/>
                <w:color w:val="FFFFFF"/>
                <w:sz w:val="19"/>
                <w:szCs w:val="19"/>
              </w:rPr>
              <w:t xml:space="preserve">Targeting Precision</w:t>
            </w:r>
          </w:p>
        </w:tc>
        <w:tc>
          <w:tcPr>
            <w:tcW w:type="dxa" w:w="2400"/>
            <w:shd w:fill="1C2B4A" w:val="clear"/>
            <w:tcMar>
              <w:top w:type="dxa" w:w="100"/>
              <w:left w:type="dxa" w:w="120"/>
              <w:bottom w:type="dxa" w:w="100"/>
              <w:right w:type="dxa" w:w="120"/>
            </w:tcMar>
          </w:tcPr>
          <w:p>
            <w:r>
              <w:rPr>
                <w:rFonts w:ascii="Arial" w:cs="Arial" w:eastAsia="Arial" w:hAnsi="Arial"/>
                <w:b/>
                <w:bCs/>
                <w:color w:val="FFFFFF"/>
                <w:sz w:val="19"/>
                <w:szCs w:val="19"/>
              </w:rPr>
              <w:t xml:space="preserve">Primary Goal</w:t>
            </w:r>
          </w:p>
        </w:tc>
        <w:tc>
          <w:tcPr>
            <w:tcW w:type="dxa" w:w="2460"/>
            <w:shd w:fill="1C2B4A" w:val="clear"/>
            <w:tcMar>
              <w:top w:type="dxa" w:w="100"/>
              <w:left w:type="dxa" w:w="120"/>
              <w:bottom w:type="dxa" w:w="100"/>
              <w:right w:type="dxa" w:w="120"/>
            </w:tcMar>
          </w:tcPr>
          <w:p>
            <w:r>
              <w:rPr>
                <w:rFonts w:ascii="Arial" w:cs="Arial" w:eastAsia="Arial" w:hAnsi="Arial"/>
                <w:b/>
                <w:bCs/>
                <w:color w:val="FFFFFF"/>
                <w:sz w:val="19"/>
                <w:szCs w:val="19"/>
              </w:rPr>
              <w:t xml:space="preserve">Defining Signal</w:t>
            </w:r>
          </w:p>
        </w:tc>
      </w:tr>
      <w:tr>
        <w:tc>
          <w:tcPr>
            <w:tcW w:type="dxa" w:w="2200"/>
            <w:tcMar>
              <w:top w:type="dxa" w:w="80"/>
              <w:left w:type="dxa" w:w="120"/>
              <w:bottom w:type="dxa" w:w="80"/>
              <w:right w:type="dxa" w:w="120"/>
            </w:tcMar>
          </w:tcPr>
          <w:p>
            <w:r>
              <w:rPr>
                <w:rFonts w:ascii="Arial" w:cs="Arial" w:eastAsia="Arial" w:hAnsi="Arial"/>
                <w:b/>
                <w:bCs/>
                <w:sz w:val="19"/>
                <w:szCs w:val="19"/>
              </w:rPr>
              <w:t xml:space="preserve">Broad-based SPAM</w:t>
            </w:r>
          </w:p>
        </w:tc>
        <w:tc>
          <w:tcPr>
            <w:tcW w:type="dxa" w:w="2300"/>
            <w:tcMar>
              <w:top w:type="dxa" w:w="80"/>
              <w:left w:type="dxa" w:w="120"/>
              <w:bottom w:type="dxa" w:w="80"/>
              <w:right w:type="dxa" w:w="120"/>
            </w:tcMar>
          </w:tcPr>
          <w:p>
            <w:r>
              <w:rPr>
                <w:rFonts w:ascii="Arial" w:cs="Arial" w:eastAsia="Arial" w:hAnsi="Arial"/>
                <w:b w:val="false"/>
                <w:bCs w:val="false"/>
                <w:sz w:val="19"/>
                <w:szCs w:val="19"/>
              </w:rPr>
              <w:t xml:space="preserve">None / mass list</w:t>
            </w:r>
          </w:p>
        </w:tc>
        <w:tc>
          <w:tcPr>
            <w:tcW w:type="dxa" w:w="2400"/>
            <w:tcMar>
              <w:top w:type="dxa" w:w="80"/>
              <w:left w:type="dxa" w:w="120"/>
              <w:bottom w:type="dxa" w:w="80"/>
              <w:right w:type="dxa" w:w="120"/>
            </w:tcMar>
          </w:tcPr>
          <w:p>
            <w:r>
              <w:rPr>
                <w:rFonts w:ascii="Arial" w:cs="Arial" w:eastAsia="Arial" w:hAnsi="Arial"/>
                <w:b w:val="false"/>
                <w:bCs w:val="false"/>
                <w:sz w:val="19"/>
                <w:szCs w:val="19"/>
              </w:rPr>
              <w:t xml:space="preserve">Volume-based credential or financial fraud</w:t>
            </w:r>
          </w:p>
        </w:tc>
        <w:tc>
          <w:tcPr>
            <w:tcW w:type="dxa" w:w="2460"/>
            <w:tcMar>
              <w:top w:type="dxa" w:w="80"/>
              <w:left w:type="dxa" w:w="120"/>
              <w:bottom w:type="dxa" w:w="80"/>
              <w:right w:type="dxa" w:w="120"/>
            </w:tcMar>
          </w:tcPr>
          <w:p>
            <w:r>
              <w:rPr>
                <w:rFonts w:ascii="Arial" w:cs="Arial" w:eastAsia="Arial" w:hAnsi="Arial"/>
                <w:b w:val="false"/>
                <w:bCs w:val="false"/>
                <w:sz w:val="19"/>
                <w:szCs w:val="19"/>
              </w:rPr>
              <w:t xml:space="preserve">Identical content sent to large recipient volume</w:t>
            </w:r>
          </w:p>
        </w:tc>
      </w:tr>
      <w:tr>
        <w:tc>
          <w:tcPr>
            <w:tcW w:type="dxa" w:w="2200"/>
            <w:shd w:fill="F2F4F7" w:val="clear"/>
            <w:tcMar>
              <w:top w:type="dxa" w:w="80"/>
              <w:left w:type="dxa" w:w="120"/>
              <w:bottom w:type="dxa" w:w="80"/>
              <w:right w:type="dxa" w:w="120"/>
            </w:tcMar>
          </w:tcPr>
          <w:p>
            <w:r>
              <w:rPr>
                <w:rFonts w:ascii="Arial" w:cs="Arial" w:eastAsia="Arial" w:hAnsi="Arial"/>
                <w:b/>
                <w:bCs/>
                <w:sz w:val="19"/>
                <w:szCs w:val="19"/>
              </w:rPr>
              <w:t xml:space="preserve">Targeted Spear Phishing</w:t>
            </w:r>
          </w:p>
        </w:tc>
        <w:tc>
          <w:tcPr>
            <w:tcW w:type="dxa" w:w="2300"/>
            <w:shd w:fill="F2F4F7" w:val="clear"/>
            <w:tcMar>
              <w:top w:type="dxa" w:w="80"/>
              <w:left w:type="dxa" w:w="120"/>
              <w:bottom w:type="dxa" w:w="80"/>
              <w:right w:type="dxa" w:w="120"/>
            </w:tcMar>
          </w:tcPr>
          <w:p>
            <w:r>
              <w:rPr>
                <w:rFonts w:ascii="Arial" w:cs="Arial" w:eastAsia="Arial" w:hAnsi="Arial"/>
                <w:b w:val="false"/>
                <w:bCs w:val="false"/>
                <w:sz w:val="19"/>
                <w:szCs w:val="19"/>
              </w:rPr>
              <w:t xml:space="preserve">Individual or small team</w:t>
            </w:r>
          </w:p>
        </w:tc>
        <w:tc>
          <w:tcPr>
            <w:tcW w:type="dxa" w:w="2400"/>
            <w:shd w:fill="F2F4F7" w:val="clear"/>
            <w:tcMar>
              <w:top w:type="dxa" w:w="80"/>
              <w:left w:type="dxa" w:w="120"/>
              <w:bottom w:type="dxa" w:w="80"/>
              <w:right w:type="dxa" w:w="120"/>
            </w:tcMar>
          </w:tcPr>
          <w:p>
            <w:r>
              <w:rPr>
                <w:rFonts w:ascii="Arial" w:cs="Arial" w:eastAsia="Arial" w:hAnsi="Arial"/>
                <w:b w:val="false"/>
                <w:bCs w:val="false"/>
                <w:sz w:val="19"/>
                <w:szCs w:val="19"/>
              </w:rPr>
              <w:t xml:space="preserve">Credential theft or malware delivery via trust</w:t>
            </w:r>
          </w:p>
        </w:tc>
        <w:tc>
          <w:tcPr>
            <w:tcW w:type="dxa" w:w="2460"/>
            <w:shd w:fill="F2F4F7" w:val="clear"/>
            <w:tcMar>
              <w:top w:type="dxa" w:w="80"/>
              <w:left w:type="dxa" w:w="120"/>
              <w:bottom w:type="dxa" w:w="80"/>
              <w:right w:type="dxa" w:w="120"/>
            </w:tcMar>
          </w:tcPr>
          <w:p>
            <w:r>
              <w:rPr>
                <w:rFonts w:ascii="Arial" w:cs="Arial" w:eastAsia="Arial" w:hAnsi="Arial"/>
                <w:b w:val="false"/>
                <w:bCs w:val="false"/>
                <w:sz w:val="19"/>
                <w:szCs w:val="19"/>
              </w:rPr>
              <w:t xml:space="preserve">Personalised detail (name, role, project) absent in SPAM</w:t>
            </w:r>
          </w:p>
        </w:tc>
      </w:tr>
      <w:tr>
        <w:tc>
          <w:tcPr>
            <w:tcW w:type="dxa" w:w="2200"/>
            <w:tcMar>
              <w:top w:type="dxa" w:w="80"/>
              <w:left w:type="dxa" w:w="120"/>
              <w:bottom w:type="dxa" w:w="80"/>
              <w:right w:type="dxa" w:w="120"/>
            </w:tcMar>
          </w:tcPr>
          <w:p>
            <w:r>
              <w:rPr>
                <w:rFonts w:ascii="Arial" w:cs="Arial" w:eastAsia="Arial" w:hAnsi="Arial"/>
                <w:b/>
                <w:bCs/>
                <w:sz w:val="19"/>
                <w:szCs w:val="19"/>
              </w:rPr>
              <w:t xml:space="preserve">Whaling</w:t>
            </w:r>
          </w:p>
        </w:tc>
        <w:tc>
          <w:tcPr>
            <w:tcW w:type="dxa" w:w="2300"/>
            <w:tcMar>
              <w:top w:type="dxa" w:w="80"/>
              <w:left w:type="dxa" w:w="120"/>
              <w:bottom w:type="dxa" w:w="80"/>
              <w:right w:type="dxa" w:w="120"/>
            </w:tcMar>
          </w:tcPr>
          <w:p>
            <w:r>
              <w:rPr>
                <w:rFonts w:ascii="Arial" w:cs="Arial" w:eastAsia="Arial" w:hAnsi="Arial"/>
                <w:b w:val="false"/>
                <w:bCs w:val="false"/>
                <w:sz w:val="19"/>
                <w:szCs w:val="19"/>
              </w:rPr>
              <w:t xml:space="preserve">Named executive</w:t>
            </w:r>
          </w:p>
        </w:tc>
        <w:tc>
          <w:tcPr>
            <w:tcW w:type="dxa" w:w="2400"/>
            <w:tcMar>
              <w:top w:type="dxa" w:w="80"/>
              <w:left w:type="dxa" w:w="120"/>
              <w:bottom w:type="dxa" w:w="80"/>
              <w:right w:type="dxa" w:w="120"/>
            </w:tcMar>
          </w:tcPr>
          <w:p>
            <w:r>
              <w:rPr>
                <w:rFonts w:ascii="Arial" w:cs="Arial" w:eastAsia="Arial" w:hAnsi="Arial"/>
                <w:b w:val="false"/>
                <w:bCs w:val="false"/>
                <w:sz w:val="19"/>
                <w:szCs w:val="19"/>
              </w:rPr>
              <w:t xml:space="preserve">Wire fraud / sensitive data exfiltration (BEC)</w:t>
            </w:r>
          </w:p>
        </w:tc>
        <w:tc>
          <w:tcPr>
            <w:tcW w:type="dxa" w:w="2460"/>
            <w:tcMar>
              <w:top w:type="dxa" w:w="80"/>
              <w:left w:type="dxa" w:w="120"/>
              <w:bottom w:type="dxa" w:w="80"/>
              <w:right w:type="dxa" w:w="120"/>
            </w:tcMar>
          </w:tcPr>
          <w:p>
            <w:r>
              <w:rPr>
                <w:rFonts w:ascii="Arial" w:cs="Arial" w:eastAsia="Arial" w:hAnsi="Arial"/>
                <w:b w:val="false"/>
                <w:bCs w:val="false"/>
                <w:sz w:val="19"/>
                <w:szCs w:val="19"/>
              </w:rPr>
              <w:t xml:space="preserve">Manufactured urgency + confidentiality + authority</w:t>
            </w:r>
          </w:p>
        </w:tc>
      </w:tr>
      <w:tr>
        <w:tc>
          <w:tcPr>
            <w:tcW w:type="dxa" w:w="2200"/>
            <w:shd w:fill="F2F4F7" w:val="clear"/>
            <w:tcMar>
              <w:top w:type="dxa" w:w="80"/>
              <w:left w:type="dxa" w:w="120"/>
              <w:bottom w:type="dxa" w:w="80"/>
              <w:right w:type="dxa" w:w="120"/>
            </w:tcMar>
          </w:tcPr>
          <w:p>
            <w:r>
              <w:rPr>
                <w:rFonts w:ascii="Arial" w:cs="Arial" w:eastAsia="Arial" w:hAnsi="Arial"/>
                <w:b/>
                <w:bCs/>
                <w:sz w:val="19"/>
                <w:szCs w:val="19"/>
              </w:rPr>
              <w:t xml:space="preserve">Industry-Targeted</w:t>
            </w:r>
          </w:p>
        </w:tc>
        <w:tc>
          <w:tcPr>
            <w:tcW w:type="dxa" w:w="2300"/>
            <w:shd w:fill="F2F4F7" w:val="clear"/>
            <w:tcMar>
              <w:top w:type="dxa" w:w="80"/>
              <w:left w:type="dxa" w:w="120"/>
              <w:bottom w:type="dxa" w:w="80"/>
              <w:right w:type="dxa" w:w="120"/>
            </w:tcMar>
          </w:tcPr>
          <w:p>
            <w:r>
              <w:rPr>
                <w:rFonts w:ascii="Arial" w:cs="Arial" w:eastAsia="Arial" w:hAnsi="Arial"/>
                <w:b w:val="false"/>
                <w:bCs w:val="false"/>
                <w:sz w:val="19"/>
                <w:szCs w:val="19"/>
              </w:rPr>
              <w:t xml:space="preserve">Sector-wide employee base</w:t>
            </w:r>
          </w:p>
        </w:tc>
        <w:tc>
          <w:tcPr>
            <w:tcW w:type="dxa" w:w="2400"/>
            <w:shd w:fill="F2F4F7" w:val="clear"/>
            <w:tcMar>
              <w:top w:type="dxa" w:w="80"/>
              <w:left w:type="dxa" w:w="120"/>
              <w:bottom w:type="dxa" w:w="80"/>
              <w:right w:type="dxa" w:w="120"/>
            </w:tcMar>
          </w:tcPr>
          <w:p>
            <w:r>
              <w:rPr>
                <w:rFonts w:ascii="Arial" w:cs="Arial" w:eastAsia="Arial" w:hAnsi="Arial"/>
                <w:b w:val="false"/>
                <w:bCs w:val="false"/>
                <w:sz w:val="19"/>
                <w:szCs w:val="19"/>
              </w:rPr>
              <w:t xml:space="preserve">Credential theft via sector-credible pretext</w:t>
            </w:r>
          </w:p>
        </w:tc>
        <w:tc>
          <w:tcPr>
            <w:tcW w:type="dxa" w:w="2460"/>
            <w:shd w:fill="F2F4F7" w:val="clear"/>
            <w:tcMar>
              <w:top w:type="dxa" w:w="80"/>
              <w:left w:type="dxa" w:w="120"/>
              <w:bottom w:type="dxa" w:w="80"/>
              <w:right w:type="dxa" w:w="120"/>
            </w:tcMar>
          </w:tcPr>
          <w:p>
            <w:r>
              <w:rPr>
                <w:rFonts w:ascii="Arial" w:cs="Arial" w:eastAsia="Arial" w:hAnsi="Arial"/>
                <w:b w:val="false"/>
                <w:bCs w:val="false"/>
                <w:sz w:val="19"/>
                <w:szCs w:val="19"/>
              </w:rPr>
              <w:t xml:space="preserve">Industry jargon / vendor or regulator impersonation</w:t>
            </w:r>
          </w:p>
        </w:tc>
      </w:tr>
    </w:tbl>
    <w:p>
      <w:pPr>
        <w:spacing w:after="0" w:before="200"/>
      </w:pPr>
      <w:r>
        <w:t xml:space="preserve"/>
      </w:r>
    </w:p>
    <w:p>
      <w:pPr>
        <w:pStyle w:val="Heading1"/>
        <w:pBdr>
          <w:bottom w:val="single" w:color="1C2B4A" w:sz="10" w:space="4"/>
        </w:pBdr>
        <w:spacing w:after="160" w:before="360"/>
      </w:pPr>
      <w:r>
        <w:rPr>
          <w:rFonts w:ascii="Arial" w:cs="Arial" w:eastAsia="Arial" w:hAnsi="Arial"/>
          <w:b/>
          <w:bCs/>
          <w:color w:val="1C2B4A"/>
          <w:sz w:val="30"/>
          <w:szCs w:val="30"/>
        </w:rPr>
        <w:t xml:space="preserve">Methodology</w:t>
      </w:r>
    </w:p>
    <w:p>
      <w:pPr>
        <w:spacing w:after="120" w:before="60"/>
      </w:pPr>
      <w:r>
        <w:rPr>
          <w:rFonts w:ascii="Arial" w:cs="Arial" w:eastAsia="Arial" w:hAnsi="Arial"/>
          <w:i w:val="false"/>
          <w:iCs w:val="false"/>
          <w:color w:val="1A1A1A"/>
          <w:sz w:val="20"/>
          <w:szCs w:val="20"/>
        </w:rPr>
        <w:t xml:space="preserve">For each example below, the same structured investigation process is applied:</w:t>
      </w:r>
    </w:p>
    <w:p>
      <w:pPr>
        <w:pStyle w:val="ListParagraph"/>
        <w:numPr>
          <w:ilvl w:val="0"/>
          <w:numId w:val="2"/>
        </w:numPr>
        <w:spacing w:after="30" w:before="30"/>
        <w:ind w:left="360" w:hanging="360"/>
      </w:pPr>
      <w:r>
        <w:rPr>
          <w:rFonts w:ascii="Arial" w:cs="Arial" w:eastAsia="Arial" w:hAnsi="Arial"/>
          <w:b w:val="false"/>
          <w:bCs w:val="false"/>
          <w:sz w:val="20"/>
          <w:szCs w:val="20"/>
        </w:rPr>
        <w:t xml:space="preserve">Identify the sender pattern — display name vs. actual domain, lookalike techniques used</w:t>
      </w:r>
    </w:p>
    <w:p>
      <w:pPr>
        <w:pStyle w:val="ListParagraph"/>
        <w:numPr>
          <w:ilvl w:val="0"/>
          <w:numId w:val="2"/>
        </w:numPr>
        <w:spacing w:after="30" w:before="30"/>
        <w:ind w:left="360" w:hanging="360"/>
      </w:pPr>
      <w:r>
        <w:rPr>
          <w:rFonts w:ascii="Arial" w:cs="Arial" w:eastAsia="Arial" w:hAnsi="Arial"/>
          <w:b w:val="false"/>
          <w:bCs w:val="false"/>
          <w:sz w:val="20"/>
          <w:szCs w:val="20"/>
        </w:rPr>
        <w:t xml:space="preserve">Identify authentication signals — what SPF/DKIM/DMARC results would be expected for a spoofed sender</w:t>
      </w:r>
    </w:p>
    <w:p>
      <w:pPr>
        <w:pStyle w:val="ListParagraph"/>
        <w:numPr>
          <w:ilvl w:val="0"/>
          <w:numId w:val="2"/>
        </w:numPr>
        <w:spacing w:after="30" w:before="30"/>
        <w:ind w:left="360" w:hanging="360"/>
      </w:pPr>
      <w:r>
        <w:rPr>
          <w:rFonts w:ascii="Arial" w:cs="Arial" w:eastAsia="Arial" w:hAnsi="Arial"/>
          <w:b w:val="false"/>
          <w:bCs w:val="false"/>
          <w:sz w:val="20"/>
          <w:szCs w:val="20"/>
        </w:rPr>
        <w:t xml:space="preserve">Identify content-based red flags — urgency language, context plausibility, grammar quality</w:t>
      </w:r>
    </w:p>
    <w:p>
      <w:pPr>
        <w:pStyle w:val="ListParagraph"/>
        <w:numPr>
          <w:ilvl w:val="0"/>
          <w:numId w:val="2"/>
        </w:numPr>
        <w:spacing w:after="30" w:before="30"/>
        <w:ind w:left="360" w:hanging="360"/>
      </w:pPr>
      <w:r>
        <w:rPr>
          <w:rFonts w:ascii="Arial" w:cs="Arial" w:eastAsia="Arial" w:hAnsi="Arial"/>
          <w:b w:val="false"/>
          <w:bCs w:val="false"/>
          <w:sz w:val="20"/>
          <w:szCs w:val="20"/>
        </w:rPr>
        <w:t xml:space="preserve">Identify the payload or ask — what the attacker wants the recipient to do</w:t>
      </w:r>
    </w:p>
    <w:p>
      <w:pPr>
        <w:pStyle w:val="ListParagraph"/>
        <w:numPr>
          <w:ilvl w:val="0"/>
          <w:numId w:val="2"/>
        </w:numPr>
        <w:spacing w:after="30" w:before="30"/>
        <w:ind w:left="360" w:hanging="360"/>
      </w:pPr>
      <w:r>
        <w:rPr>
          <w:rFonts w:ascii="Arial" w:cs="Arial" w:eastAsia="Arial" w:hAnsi="Arial"/>
          <w:b w:val="false"/>
          <w:bCs w:val="false"/>
          <w:sz w:val="20"/>
          <w:szCs w:val="20"/>
        </w:rPr>
        <w:t xml:space="preserve">Classify — state the phishing type and the specific evidence that drove the classification</w:t>
      </w:r>
    </w:p>
    <w:p>
      <w:pPr>
        <w:spacing w:after="120" w:before="60"/>
      </w:pPr>
      <w:r>
        <w:rPr>
          <w:rFonts w:ascii="Arial" w:cs="Arial" w:eastAsia="Arial" w:hAnsi="Arial"/>
          <w:i w:val="false"/>
          <w:iCs w:val="false"/>
          <w:color w:val="1A1A1A"/>
          <w:sz w:val="20"/>
          <w:szCs w:val="20"/>
        </w:rPr>
        <w:t xml:space="preserve">This mirrors the investigation workflow an analyst would follow when triaging a real reported email in a SOC environment, and is the same checklist format included in the accompanying spreadsheet (Investigation Checklist tab).</w:t>
      </w:r>
    </w:p>
    <w:p>
      <w:pPr>
        <w:pStyle w:val="Heading1"/>
        <w:pBdr>
          <w:bottom w:val="single" w:color="1C2B4A" w:sz="10" w:space="4"/>
        </w:pBdr>
        <w:spacing w:after="160" w:before="360"/>
      </w:pPr>
      <w:r>
        <w:rPr>
          <w:rFonts w:ascii="Arial" w:cs="Arial" w:eastAsia="Arial" w:hAnsi="Arial"/>
          <w:b/>
          <w:bCs/>
          <w:color w:val="1C2B4A"/>
          <w:sz w:val="30"/>
          <w:szCs w:val="30"/>
        </w:rPr>
        <w:t xml:space="preserve">Example 1 — Broad-Based SPAM</w:t>
      </w:r>
    </w:p>
    <w:p>
      <w:pPr>
        <w:spacing w:after="100" w:before="200"/>
      </w:pPr>
      <w:r>
        <w:rPr>
          <w:rFonts w:ascii="Arial" w:cs="Arial" w:eastAsia="Arial" w:hAnsi="Arial"/>
          <w:b/>
          <w:bCs/>
          <w:color w:val="1A1A1A"/>
          <w:sz w:val="21"/>
          <w:szCs w:val="21"/>
        </w:rPr>
        <w:t xml:space="preserve">Synthetic Sample</w:t>
      </w:r>
    </w:p>
    <w:p>
      <w:pPr>
        <w:pBdr>
          <w:top w:val="single" w:color="CCCCCC" w:sz="4"/>
          <w:left w:val="single" w:color="CCCCCC" w:sz="4"/>
          <w:right w:val="single" w:color="CCCCCC" w:sz="4"/>
        </w:pBdr>
        <w:shd w:fill="F2F4F7" w:val="clear"/>
        <w:spacing w:after="0" w:before="100"/>
        <w:ind w:left="200" w:right="200"/>
      </w:pPr>
      <w:r>
        <w:rPr>
          <w:rFonts w:ascii="Courier New" w:cs="Courier New" w:eastAsia="Courier New" w:hAnsi="Courier New"/>
          <w:color w:val="1A1A1A"/>
          <w:sz w:val="18"/>
          <w:szCs w:val="18"/>
        </w:rPr>
        <w:t xml:space="preserve">From: Account-Security &lt;security-alert@amaz0n-verify.net&gt;</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To: undisclosed-recipients</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Subject: URGENT: Your account has been suspended!!!</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Dear Customer,</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We detected unusual activity on you're account. Your account has</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been temporarily suspended for security reasons. Click below</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immediately to verify you're identity and restore full access</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within 24 hours or your account will be permanently closed.</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[VERIFY MY ACCOUNT NOW]</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Thank you for choosing us.</w:t>
      </w:r>
    </w:p>
    <w:p>
      <w:pPr>
        <w:pBdr>
          <w:bottom w:val="single" w:color="CCCCCC" w:sz="4"/>
          <w:left w:val="single" w:color="CCCCCC" w:sz="4"/>
          <w:right w:val="single" w:color="CCCCCC" w:sz="4"/>
        </w:pBdr>
        <w:shd w:fill="F2F4F7" w:val="clear"/>
        <w:spacing w:after="100" w:before="0"/>
        <w:ind w:left="200" w:right="200"/>
      </w:pPr>
      <w:r>
        <w:rPr>
          <w:rFonts w:ascii="Courier New" w:cs="Courier New" w:eastAsia="Courier New" w:hAnsi="Courier New"/>
          <w:color w:val="1A1A1A"/>
          <w:sz w:val="18"/>
          <w:szCs w:val="18"/>
        </w:rPr>
        <w:t xml:space="preserve">Customer Service Team</w:t>
      </w:r>
    </w:p>
    <w:p>
      <w:pPr>
        <w:spacing w:after="100" w:before="200"/>
      </w:pPr>
      <w:r>
        <w:rPr>
          <w:rFonts w:ascii="Arial" w:cs="Arial" w:eastAsia="Arial" w:hAnsi="Arial"/>
          <w:b/>
          <w:bCs/>
          <w:color w:val="1A1A1A"/>
          <w:sz w:val="21"/>
          <w:szCs w:val="21"/>
        </w:rPr>
        <w:t xml:space="preserve">Red Flags Identified</w:t>
      </w:r>
    </w:p>
    <w:p>
      <w:pPr>
        <w:spacing w:after="40" w:before="40"/>
        <w:ind w:left="360" w:hanging="360"/>
      </w:pPr>
      <w:r>
        <w:rPr>
          <w:rFonts w:ascii="Arial" w:cs="Arial" w:eastAsia="Arial" w:hAnsi="Arial"/>
          <w:b/>
          <w:bCs/>
          <w:color w:val="B23A2E"/>
          <w:sz w:val="20"/>
          <w:szCs w:val="20"/>
        </w:rPr>
        <w:t xml:space="preserve">[1] </w:t>
      </w:r>
      <w:r>
        <w:rPr>
          <w:rFonts w:ascii="Arial" w:cs="Arial" w:eastAsia="Arial" w:hAnsi="Arial"/>
          <w:sz w:val="20"/>
          <w:szCs w:val="20"/>
        </w:rPr>
        <w:t xml:space="preserve">Lookalike domain: “amaz0n-verify.net” substitutes a zero for the letter ‘o’ and adds an unrelated TLD — a classic typosquatting technique used to evade casual visual inspection.</w:t>
      </w:r>
    </w:p>
    <w:p>
      <w:pPr>
        <w:spacing w:after="40" w:before="40"/>
        <w:ind w:left="360" w:hanging="360"/>
      </w:pPr>
      <w:r>
        <w:rPr>
          <w:rFonts w:ascii="Arial" w:cs="Arial" w:eastAsia="Arial" w:hAnsi="Arial"/>
          <w:b/>
          <w:bCs/>
          <w:color w:val="B23A2E"/>
          <w:sz w:val="20"/>
          <w:szCs w:val="20"/>
        </w:rPr>
        <w:t xml:space="preserve">[2] </w:t>
      </w:r>
      <w:r>
        <w:rPr>
          <w:rFonts w:ascii="Arial" w:cs="Arial" w:eastAsia="Arial" w:hAnsi="Arial"/>
          <w:sz w:val="20"/>
          <w:szCs w:val="20"/>
        </w:rPr>
        <w:t xml:space="preserve">Generic greeting — “Dear Customer” instead of a real name, consistent with a mass-distributed template with no personalisation.</w:t>
      </w:r>
    </w:p>
    <w:p>
      <w:pPr>
        <w:spacing w:after="40" w:before="40"/>
        <w:ind w:left="360" w:hanging="360"/>
      </w:pPr>
      <w:r>
        <w:rPr>
          <w:rFonts w:ascii="Arial" w:cs="Arial" w:eastAsia="Arial" w:hAnsi="Arial"/>
          <w:b/>
          <w:bCs/>
          <w:color w:val="B23A2E"/>
          <w:sz w:val="20"/>
          <w:szCs w:val="20"/>
        </w:rPr>
        <w:t xml:space="preserve">[3] </w:t>
      </w:r>
      <w:r>
        <w:rPr>
          <w:rFonts w:ascii="Arial" w:cs="Arial" w:eastAsia="Arial" w:hAnsi="Arial"/>
          <w:sz w:val="20"/>
          <w:szCs w:val="20"/>
        </w:rPr>
        <w:t xml:space="preserve">Grammar errors (“you're account” used incorrectly twice) — a recurring quality signal in lower-effort SPAM campaigns, far less common in spear phishing or whaling.</w:t>
      </w:r>
    </w:p>
    <w:p>
      <w:pPr>
        <w:spacing w:after="40" w:before="40"/>
        <w:ind w:left="360" w:hanging="360"/>
      </w:pPr>
      <w:r>
        <w:rPr>
          <w:rFonts w:ascii="Arial" w:cs="Arial" w:eastAsia="Arial" w:hAnsi="Arial"/>
          <w:b/>
          <w:bCs/>
          <w:color w:val="B23A2E"/>
          <w:sz w:val="20"/>
          <w:szCs w:val="20"/>
        </w:rPr>
        <w:t xml:space="preserve">[4] </w:t>
      </w:r>
      <w:r>
        <w:rPr>
          <w:rFonts w:ascii="Arial" w:cs="Arial" w:eastAsia="Arial" w:hAnsi="Arial"/>
          <w:sz w:val="20"/>
          <w:szCs w:val="20"/>
        </w:rPr>
        <w:t xml:space="preserve">“To: undisclosed-recipients” — indicates the message was BCC’d to a large distribution list rather than addressed to a specific individual.</w:t>
      </w:r>
    </w:p>
    <w:p>
      <w:pPr>
        <w:spacing w:after="40" w:before="40"/>
        <w:ind w:left="360" w:hanging="360"/>
      </w:pPr>
      <w:r>
        <w:rPr>
          <w:rFonts w:ascii="Arial" w:cs="Arial" w:eastAsia="Arial" w:hAnsi="Arial"/>
          <w:b/>
          <w:bCs/>
          <w:color w:val="B23A2E"/>
          <w:sz w:val="20"/>
          <w:szCs w:val="20"/>
        </w:rPr>
        <w:t xml:space="preserve">[5] </w:t>
      </w:r>
      <w:r>
        <w:rPr>
          <w:rFonts w:ascii="Arial" w:cs="Arial" w:eastAsia="Arial" w:hAnsi="Arial"/>
          <w:sz w:val="20"/>
          <w:szCs w:val="20"/>
        </w:rPr>
        <w:t xml:space="preserve">Generic urgency (“24 hours or your account will be permanently closed”) without any account-specific or contextual detail.</w:t>
      </w:r>
    </w:p>
    <w:p>
      <w:pPr>
        <w:spacing w:after="100" w:before="200"/>
      </w:pPr>
      <w:r>
        <w:rPr>
          <w:rFonts w:ascii="Arial" w:cs="Arial" w:eastAsia="Arial" w:hAnsi="Arial"/>
          <w:b/>
          <w:bCs/>
          <w:color w:val="555555"/>
          <w:sz w:val="21"/>
          <w:szCs w:val="21"/>
        </w:rPr>
        <w:t xml:space="preserve">Expected Authentication Result</w:t>
      </w:r>
    </w:p>
    <w:p>
      <w:pPr>
        <w:spacing w:after="120" w:before="60"/>
      </w:pPr>
      <w:r>
        <w:rPr>
          <w:rFonts w:ascii="Arial" w:cs="Arial" w:eastAsia="Arial" w:hAnsi="Arial"/>
          <w:i/>
          <w:iCs/>
          <w:color w:val="1A1A1A"/>
          <w:sz w:val="20"/>
          <w:szCs w:val="20"/>
        </w:rPr>
        <w:t xml:space="preserve">SPF and DKIM would almost certainly fail for the spoofed domain, since amaz0n-verify.net has no legitimate relationship with the real Amazon mail infrastructure. This is the kind of email where automated authentication-based filtering (DMARC reject policy) is highly effective — unlike spear phishing, which often uses domains designed to pass authentication checks.</w:t>
      </w:r>
    </w:p>
    <w:p>
      <w:pPr>
        <w:pBdr>
          <w:left w:val="single" w:color="1A6B3C" w:sz="24" w:space="8"/>
        </w:pBdr>
        <w:shd w:fill="EAF3DE" w:val="clear"/>
        <w:spacing w:after="200" w:before="160"/>
        <w:ind w:left="100"/>
      </w:pPr>
      <w:r>
        <w:rPr>
          <w:rFonts w:ascii="Arial" w:cs="Arial" w:eastAsia="Arial" w:hAnsi="Arial"/>
          <w:b/>
          <w:bCs/>
          <w:color w:val="27500A"/>
          <w:sz w:val="20"/>
          <w:szCs w:val="20"/>
        </w:rPr>
        <w:t xml:space="preserve">Classification: Broad-based SPAM. Evidence: no personalisation, generic distribution, low-effort lookalike domain, grammar errors, and content that does not reference any plausible real account relationship.</w:t>
      </w:r>
    </w:p>
    <w:p>
      <w:pPr>
        <w:pStyle w:val="Heading1"/>
        <w:pBdr>
          <w:bottom w:val="single" w:color="1C2B4A" w:sz="10" w:space="4"/>
        </w:pBdr>
        <w:spacing w:after="160" w:before="360"/>
      </w:pPr>
      <w:r>
        <w:rPr>
          <w:rFonts w:ascii="Arial" w:cs="Arial" w:eastAsia="Arial" w:hAnsi="Arial"/>
          <w:b/>
          <w:bCs/>
          <w:color w:val="1C2B4A"/>
          <w:sz w:val="30"/>
          <w:szCs w:val="30"/>
        </w:rPr>
        <w:t xml:space="preserve">Example 2 — Targeted Spear Phishing</w:t>
      </w:r>
    </w:p>
    <w:p>
      <w:pPr>
        <w:spacing w:after="100" w:before="200"/>
      </w:pPr>
      <w:r>
        <w:rPr>
          <w:rFonts w:ascii="Arial" w:cs="Arial" w:eastAsia="Arial" w:hAnsi="Arial"/>
          <w:b/>
          <w:bCs/>
          <w:color w:val="1A1A1A"/>
          <w:sz w:val="21"/>
          <w:szCs w:val="21"/>
        </w:rPr>
        <w:t xml:space="preserve">Synthetic Sample</w:t>
      </w:r>
    </w:p>
    <w:p>
      <w:pPr>
        <w:pBdr>
          <w:top w:val="single" w:color="CCCCCC" w:sz="4"/>
          <w:left w:val="single" w:color="CCCCCC" w:sz="4"/>
          <w:right w:val="single" w:color="CCCCCC" w:sz="4"/>
        </w:pBdr>
        <w:shd w:fill="F2F4F7" w:val="clear"/>
        <w:spacing w:after="0" w:before="100"/>
        <w:ind w:left="200" w:right="200"/>
      </w:pPr>
      <w:r>
        <w:rPr>
          <w:rFonts w:ascii="Courier New" w:cs="Courier New" w:eastAsia="Courier New" w:hAnsi="Courier New"/>
          <w:color w:val="1A1A1A"/>
          <w:sz w:val="18"/>
          <w:szCs w:val="18"/>
        </w:rPr>
        <w:t xml:space="preserve">From: Priya Sharma &lt;p.sharma@vendor-invoices-corp.com&gt;</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To: rohan.iyer@[fictional-company].com</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Subject: Re: Q3 Invoice #INV-4471 — payment confirmation needed</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Hi Rohan,</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Following up on the invoice I sent last week for the Q3 vendor</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renewal we discussed in the procurement sync. Finance flagged</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that the payment details on file may be outdated — can you</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confirm the account details on the portal below before Friday’s</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close-out? I don't want this to slip past the quarter.</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[Confirm Payment Details]</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Thanks,</w:t>
      </w:r>
    </w:p>
    <w:p>
      <w:pPr>
        <w:pBdr>
          <w:bottom w:val="single" w:color="CCCCCC" w:sz="4"/>
          <w:left w:val="single" w:color="CCCCCC" w:sz="4"/>
          <w:right w:val="single" w:color="CCCCCC" w:sz="4"/>
        </w:pBdr>
        <w:shd w:fill="F2F4F7" w:val="clear"/>
        <w:spacing w:after="100" w:before="0"/>
        <w:ind w:left="200" w:right="200"/>
      </w:pPr>
      <w:r>
        <w:rPr>
          <w:rFonts w:ascii="Courier New" w:cs="Courier New" w:eastAsia="Courier New" w:hAnsi="Courier New"/>
          <w:color w:val="1A1A1A"/>
          <w:sz w:val="18"/>
          <w:szCs w:val="18"/>
        </w:rPr>
        <w:t xml:space="preserve">Priya</w:t>
      </w:r>
    </w:p>
    <w:p>
      <w:pPr>
        <w:spacing w:after="100" w:before="200"/>
      </w:pPr>
      <w:r>
        <w:rPr>
          <w:rFonts w:ascii="Arial" w:cs="Arial" w:eastAsia="Arial" w:hAnsi="Arial"/>
          <w:b/>
          <w:bCs/>
          <w:color w:val="1A1A1A"/>
          <w:sz w:val="21"/>
          <w:szCs w:val="21"/>
        </w:rPr>
        <w:t xml:space="preserve">Red Flags Identified</w:t>
      </w:r>
    </w:p>
    <w:p>
      <w:pPr>
        <w:spacing w:after="40" w:before="40"/>
        <w:ind w:left="360" w:hanging="360"/>
      </w:pPr>
      <w:r>
        <w:rPr>
          <w:rFonts w:ascii="Arial" w:cs="Arial" w:eastAsia="Arial" w:hAnsi="Arial"/>
          <w:b/>
          <w:bCs/>
          <w:color w:val="B23A2E"/>
          <w:sz w:val="20"/>
          <w:szCs w:val="20"/>
        </w:rPr>
        <w:t xml:space="preserve">[1] </w:t>
      </w:r>
      <w:r>
        <w:rPr>
          <w:rFonts w:ascii="Arial" w:cs="Arial" w:eastAsia="Arial" w:hAnsi="Arial"/>
          <w:sz w:val="20"/>
          <w:szCs w:val="20"/>
        </w:rPr>
        <w:t xml:space="preserve">Sender domain “vendor-invoices-corp.com” does not match any plausible real vendor domain naming convention and was registered for this specific campaign — visually unremarkable but not the vendor’s actual domain.</w:t>
      </w:r>
    </w:p>
    <w:p>
      <w:pPr>
        <w:spacing w:after="40" w:before="40"/>
        <w:ind w:left="360" w:hanging="360"/>
      </w:pPr>
      <w:r>
        <w:rPr>
          <w:rFonts w:ascii="Arial" w:cs="Arial" w:eastAsia="Arial" w:hAnsi="Arial"/>
          <w:b/>
          <w:bCs/>
          <w:color w:val="B23A2E"/>
          <w:sz w:val="20"/>
          <w:szCs w:val="20"/>
        </w:rPr>
        <w:t xml:space="preserve">[2] </w:t>
      </w:r>
      <w:r>
        <w:rPr>
          <w:rFonts w:ascii="Arial" w:cs="Arial" w:eastAsia="Arial" w:hAnsi="Arial"/>
          <w:sz w:val="20"/>
          <w:szCs w:val="20"/>
        </w:rPr>
        <w:t xml:space="preserve">Specific contextual detail — references a real-sounding internal meeting (“procurement sync”) and a specific invoice number, which increases credibility versus generic SPAM. This level of detail typically requires prior reconnaissance (LinkedIn, company website, or a prior compromised mailbox).</w:t>
      </w:r>
    </w:p>
    <w:p>
      <w:pPr>
        <w:spacing w:after="40" w:before="40"/>
        <w:ind w:left="360" w:hanging="360"/>
      </w:pPr>
      <w:r>
        <w:rPr>
          <w:rFonts w:ascii="Arial" w:cs="Arial" w:eastAsia="Arial" w:hAnsi="Arial"/>
          <w:b/>
          <w:bCs/>
          <w:color w:val="B23A2E"/>
          <w:sz w:val="20"/>
          <w:szCs w:val="20"/>
        </w:rPr>
        <w:t xml:space="preserve">[3] </w:t>
      </w:r>
      <w:r>
        <w:rPr>
          <w:rFonts w:ascii="Arial" w:cs="Arial" w:eastAsia="Arial" w:hAnsi="Arial"/>
          <w:sz w:val="20"/>
          <w:szCs w:val="20"/>
        </w:rPr>
        <w:t xml:space="preserve">Moderate urgency tied to a real business process (“before Friday’s close-out”) — plausible enough not to immediately read as manufactured pressure, which is what makes spear phishing more dangerous than SPAM.</w:t>
      </w:r>
    </w:p>
    <w:p>
      <w:pPr>
        <w:spacing w:after="40" w:before="40"/>
        <w:ind w:left="360" w:hanging="360"/>
      </w:pPr>
      <w:r>
        <w:rPr>
          <w:rFonts w:ascii="Arial" w:cs="Arial" w:eastAsia="Arial" w:hAnsi="Arial"/>
          <w:b/>
          <w:bCs/>
          <w:color w:val="B23A2E"/>
          <w:sz w:val="20"/>
          <w:szCs w:val="20"/>
        </w:rPr>
        <w:t xml:space="preserve">[4] </w:t>
      </w:r>
      <w:r>
        <w:rPr>
          <w:rFonts w:ascii="Arial" w:cs="Arial" w:eastAsia="Arial" w:hAnsi="Arial"/>
          <w:sz w:val="20"/>
          <w:szCs w:val="20"/>
        </w:rPr>
        <w:t xml:space="preserve">The ask is narrow and specific: confirm payment/account details via a link, rather than a generic “verify your account” — consistent with payment redirection fraud.</w:t>
      </w:r>
    </w:p>
    <w:p>
      <w:pPr>
        <w:spacing w:after="100" w:before="200"/>
      </w:pPr>
      <w:r>
        <w:rPr>
          <w:rFonts w:ascii="Arial" w:cs="Arial" w:eastAsia="Arial" w:hAnsi="Arial"/>
          <w:b/>
          <w:bCs/>
          <w:color w:val="555555"/>
          <w:sz w:val="21"/>
          <w:szCs w:val="21"/>
        </w:rPr>
        <w:t xml:space="preserve">Expected Authentication Result</w:t>
      </w:r>
    </w:p>
    <w:p>
      <w:pPr>
        <w:spacing w:after="120" w:before="60"/>
      </w:pPr>
      <w:r>
        <w:rPr>
          <w:rFonts w:ascii="Arial" w:cs="Arial" w:eastAsia="Arial" w:hAnsi="Arial"/>
          <w:i/>
          <w:iCs/>
          <w:color w:val="1A1A1A"/>
          <w:sz w:val="20"/>
          <w:szCs w:val="20"/>
        </w:rPr>
        <w:t xml:space="preserve">This is where investigation depth matters: SPF/DKIM may actually pass if the attacker controls the sending domain legitimately (since it's their own registered domain, not a spoofed version of the real vendor's domain). This is a key reason spear phishing is harder to filter automatically than SPAM — the email is technically “authenticated” for the domain it claims to be from, even though that domain itself is fraudulent. The investigation must instead focus on domain reputation, domain age, and whether this is genuinely the vendor's known domain.</w:t>
      </w:r>
    </w:p>
    <w:p>
      <w:pPr>
        <w:pBdr>
          <w:left w:val="single" w:color="1A6B3C" w:sz="24" w:space="8"/>
        </w:pBdr>
        <w:shd w:fill="EAF3DE" w:val="clear"/>
        <w:spacing w:after="200" w:before="160"/>
        <w:ind w:left="100"/>
      </w:pPr>
      <w:r>
        <w:rPr>
          <w:rFonts w:ascii="Arial" w:cs="Arial" w:eastAsia="Arial" w:hAnsi="Arial"/>
          <w:b/>
          <w:bCs/>
          <w:color w:val="27500A"/>
          <w:sz w:val="20"/>
          <w:szCs w:val="20"/>
        </w:rPr>
        <w:t xml:space="preserve">Classification: Targeted Spear Phishing. Evidence: specific recipient targeting, researched contextual detail, narrowly scoped financial ask, and a domain that passes authentication but does not match the real vendor's known domain on file.</w:t>
      </w:r>
    </w:p>
    <w:p>
      <w:pPr>
        <w:pStyle w:val="Heading1"/>
        <w:pBdr>
          <w:bottom w:val="single" w:color="1C2B4A" w:sz="10" w:space="4"/>
        </w:pBdr>
        <w:spacing w:after="160" w:before="360"/>
      </w:pPr>
      <w:r>
        <w:rPr>
          <w:rFonts w:ascii="Arial" w:cs="Arial" w:eastAsia="Arial" w:hAnsi="Arial"/>
          <w:b/>
          <w:bCs/>
          <w:color w:val="1C2B4A"/>
          <w:sz w:val="30"/>
          <w:szCs w:val="30"/>
        </w:rPr>
        <w:t xml:space="preserve">Example 3 — Whaling</w:t>
      </w:r>
    </w:p>
    <w:p>
      <w:pPr>
        <w:spacing w:after="100" w:before="200"/>
      </w:pPr>
      <w:r>
        <w:rPr>
          <w:rFonts w:ascii="Arial" w:cs="Arial" w:eastAsia="Arial" w:hAnsi="Arial"/>
          <w:b/>
          <w:bCs/>
          <w:color w:val="1A1A1A"/>
          <w:sz w:val="21"/>
          <w:szCs w:val="21"/>
        </w:rPr>
        <w:t xml:space="preserve">Synthetic Sample</w:t>
      </w:r>
    </w:p>
    <w:p>
      <w:pPr>
        <w:pBdr>
          <w:top w:val="single" w:color="CCCCCC" w:sz="4"/>
          <w:left w:val="single" w:color="CCCCCC" w:sz="4"/>
          <w:right w:val="single" w:color="CCCCCC" w:sz="4"/>
        </w:pBdr>
        <w:shd w:fill="F2F4F7" w:val="clear"/>
        <w:spacing w:after="0" w:before="100"/>
        <w:ind w:left="200" w:right="200"/>
      </w:pPr>
      <w:r>
        <w:rPr>
          <w:rFonts w:ascii="Courier New" w:cs="Courier New" w:eastAsia="Courier New" w:hAnsi="Courier New"/>
          <w:color w:val="1A1A1A"/>
          <w:sz w:val="18"/>
          <w:szCs w:val="18"/>
        </w:rPr>
        <w:t xml:space="preserve">From: David Chen, CEO &lt;d.chen@[fictional-company]-exec.com&gt;</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To: meera.kapoor@[fictional-company].com (CFO)</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Subject: Confidential — urgent wire authorization needed</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Meera,</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I'm currently finalizing the acquisition discussion we spoke about</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and need you to process an urgent wire transfer today before the</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counterparty's banking window closes. This needs to stay strictly</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confidential until we announce — please don't loop in anyone else</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on this, including legal, until I give the go-ahead.</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I'll send the wire details from my personal line shortly since I'm</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travelling and my usual email access is limited. Please confirm</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you can action this within the hour.</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
      </w:r>
    </w:p>
    <w:p>
      <w:pPr>
        <w:pBdr>
          <w:bottom w:val="single" w:color="CCCCCC" w:sz="4"/>
          <w:left w:val="single" w:color="CCCCCC" w:sz="4"/>
          <w:right w:val="single" w:color="CCCCCC" w:sz="4"/>
        </w:pBdr>
        <w:shd w:fill="F2F4F7" w:val="clear"/>
        <w:spacing w:after="100" w:before="0"/>
        <w:ind w:left="200" w:right="200"/>
      </w:pPr>
      <w:r>
        <w:rPr>
          <w:rFonts w:ascii="Courier New" w:cs="Courier New" w:eastAsia="Courier New" w:hAnsi="Courier New"/>
          <w:color w:val="1A1A1A"/>
          <w:sz w:val="18"/>
          <w:szCs w:val="18"/>
        </w:rPr>
        <w:t xml:space="preserve">David</w:t>
      </w:r>
    </w:p>
    <w:p>
      <w:pPr>
        <w:spacing w:after="100" w:before="200"/>
      </w:pPr>
      <w:r>
        <w:rPr>
          <w:rFonts w:ascii="Arial" w:cs="Arial" w:eastAsia="Arial" w:hAnsi="Arial"/>
          <w:b/>
          <w:bCs/>
          <w:color w:val="1A1A1A"/>
          <w:sz w:val="21"/>
          <w:szCs w:val="21"/>
        </w:rPr>
        <w:t xml:space="preserve">Red Flags Identified</w:t>
      </w:r>
    </w:p>
    <w:p>
      <w:pPr>
        <w:spacing w:after="40" w:before="40"/>
        <w:ind w:left="360" w:hanging="360"/>
      </w:pPr>
      <w:r>
        <w:rPr>
          <w:rFonts w:ascii="Arial" w:cs="Arial" w:eastAsia="Arial" w:hAnsi="Arial"/>
          <w:b/>
          <w:bCs/>
          <w:color w:val="B23A2E"/>
          <w:sz w:val="20"/>
          <w:szCs w:val="20"/>
        </w:rPr>
        <w:t xml:space="preserve">[1] </w:t>
      </w:r>
      <w:r>
        <w:rPr>
          <w:rFonts w:ascii="Arial" w:cs="Arial" w:eastAsia="Arial" w:hAnsi="Arial"/>
          <w:sz w:val="20"/>
          <w:szCs w:val="20"/>
        </w:rPr>
        <w:t xml:space="preserve">Sender domain “[fictional-company]-exec.com” is a lookalike of the real company domain with “-exec” appended — designed to look plausible at a glance to someone not scrutinising the address closely, especially under time pressure.</w:t>
      </w:r>
    </w:p>
    <w:p>
      <w:pPr>
        <w:spacing w:after="40" w:before="40"/>
        <w:ind w:left="360" w:hanging="360"/>
      </w:pPr>
      <w:r>
        <w:rPr>
          <w:rFonts w:ascii="Arial" w:cs="Arial" w:eastAsia="Arial" w:hAnsi="Arial"/>
          <w:b/>
          <w:bCs/>
          <w:color w:val="B23A2E"/>
          <w:sz w:val="20"/>
          <w:szCs w:val="20"/>
        </w:rPr>
        <w:t xml:space="preserve">[2] </w:t>
      </w:r>
      <w:r>
        <w:rPr>
          <w:rFonts w:ascii="Arial" w:cs="Arial" w:eastAsia="Arial" w:hAnsi="Arial"/>
          <w:sz w:val="20"/>
          <w:szCs w:val="20"/>
        </w:rPr>
        <w:t xml:space="preserve">Explicit confidentiality instruction (“don’t loop in anyone else, including legal”) — this is one of the strongest whaling indicators, since it deliberately attempts to bypass the normal multi-person approval control that would otherwise catch the fraud.</w:t>
      </w:r>
    </w:p>
    <w:p>
      <w:pPr>
        <w:spacing w:after="40" w:before="40"/>
        <w:ind w:left="360" w:hanging="360"/>
      </w:pPr>
      <w:r>
        <w:rPr>
          <w:rFonts w:ascii="Arial" w:cs="Arial" w:eastAsia="Arial" w:hAnsi="Arial"/>
          <w:b/>
          <w:bCs/>
          <w:color w:val="B23A2E"/>
          <w:sz w:val="20"/>
          <w:szCs w:val="20"/>
        </w:rPr>
        <w:t xml:space="preserve">[3] </w:t>
      </w:r>
      <w:r>
        <w:rPr>
          <w:rFonts w:ascii="Arial" w:cs="Arial" w:eastAsia="Arial" w:hAnsi="Arial"/>
          <w:sz w:val="20"/>
          <w:szCs w:val="20"/>
        </w:rPr>
        <w:t xml:space="preserve">Manufactured time pressure (“within the hour”, “banking window closes today”) combined with a plausible business pretext (M&amp;A activity) — executives are more likely to act quickly on M&amp;A-related requests given real confidentiality norms around such deals.</w:t>
      </w:r>
    </w:p>
    <w:p>
      <w:pPr>
        <w:spacing w:after="40" w:before="40"/>
        <w:ind w:left="360" w:hanging="360"/>
      </w:pPr>
      <w:r>
        <w:rPr>
          <w:rFonts w:ascii="Arial" w:cs="Arial" w:eastAsia="Arial" w:hAnsi="Arial"/>
          <w:b/>
          <w:bCs/>
          <w:color w:val="B23A2E"/>
          <w:sz w:val="20"/>
          <w:szCs w:val="20"/>
        </w:rPr>
        <w:t xml:space="preserve">[4] </w:t>
      </w:r>
      <w:r>
        <w:rPr>
          <w:rFonts w:ascii="Arial" w:cs="Arial" w:eastAsia="Arial" w:hAnsi="Arial"/>
          <w:sz w:val="20"/>
          <w:szCs w:val="20"/>
        </w:rPr>
        <w:t xml:space="preserve">Pre-emptive excuse for unusual communication channel (“I'll send wire details from my personal line… my usual email access is limited”) — primes the target to expect a follow-up from an unfamiliar channel, reducing suspicion at the next stage of the attack.</w:t>
      </w:r>
    </w:p>
    <w:p>
      <w:pPr>
        <w:spacing w:after="40" w:before="40"/>
        <w:ind w:left="360" w:hanging="360"/>
      </w:pPr>
      <w:r>
        <w:rPr>
          <w:rFonts w:ascii="Arial" w:cs="Arial" w:eastAsia="Arial" w:hAnsi="Arial"/>
          <w:b/>
          <w:bCs/>
          <w:color w:val="B23A2E"/>
          <w:sz w:val="20"/>
          <w:szCs w:val="20"/>
        </w:rPr>
        <w:t xml:space="preserve">[5] </w:t>
      </w:r>
      <w:r>
        <w:rPr>
          <w:rFonts w:ascii="Arial" w:cs="Arial" w:eastAsia="Arial" w:hAnsi="Arial"/>
          <w:sz w:val="20"/>
          <w:szCs w:val="20"/>
        </w:rPr>
        <w:t xml:space="preserve">Targets the CFO specifically — the one role with the authority to action a wire transfer, rather than a broader distribution — the hallmark of whaling’s narrow, high-value targeting.</w:t>
      </w:r>
    </w:p>
    <w:p>
      <w:pPr>
        <w:spacing w:after="100" w:before="200"/>
      </w:pPr>
      <w:r>
        <w:rPr>
          <w:rFonts w:ascii="Arial" w:cs="Arial" w:eastAsia="Arial" w:hAnsi="Arial"/>
          <w:b/>
          <w:bCs/>
          <w:color w:val="555555"/>
          <w:sz w:val="21"/>
          <w:szCs w:val="21"/>
        </w:rPr>
        <w:t xml:space="preserve">Expected Authentication Result</w:t>
      </w:r>
    </w:p>
    <w:p>
      <w:pPr>
        <w:spacing w:after="120" w:before="60"/>
      </w:pPr>
      <w:r>
        <w:rPr>
          <w:rFonts w:ascii="Arial" w:cs="Arial" w:eastAsia="Arial" w:hAnsi="Arial"/>
          <w:i/>
          <w:iCs/>
          <w:color w:val="1A1A1A"/>
          <w:sz w:val="20"/>
          <w:szCs w:val="20"/>
        </w:rPr>
        <w:t xml:space="preserve">As with spear phishing, the attacker's own domain may pass SPF/DKIM since they control it. The critical investigative step is verifying the actual domain against the CEO's known, on-file email address — in this case the discrepancy (added “-exec” suffix) would only be caught by someone checking the address character-by-character rather than trusting the display name “David Chen, CEO” at face value.</w:t>
      </w:r>
    </w:p>
    <w:p>
      <w:pPr>
        <w:pBdr>
          <w:left w:val="single" w:color="1A6B3C" w:sz="24" w:space="8"/>
        </w:pBdr>
        <w:shd w:fill="EAF3DE" w:val="clear"/>
        <w:spacing w:after="200" w:before="160"/>
        <w:ind w:left="100"/>
      </w:pPr>
      <w:r>
        <w:rPr>
          <w:rFonts w:ascii="Arial" w:cs="Arial" w:eastAsia="Arial" w:hAnsi="Arial"/>
          <w:b/>
          <w:bCs/>
          <w:color w:val="27500A"/>
          <w:sz w:val="20"/>
          <w:szCs w:val="20"/>
        </w:rPr>
        <w:t xml:space="preserve">Classification: Whaling (Business Email Compromise pattern). Evidence: senior-executive targeting, manufactured confidentiality bypassing normal controls, financial transfer request, time pressure, and a lookalike domain designed to survive a quick glance.</w:t>
      </w:r>
    </w:p>
    <w:p>
      <w:pPr>
        <w:pStyle w:val="Heading1"/>
        <w:pBdr>
          <w:bottom w:val="single" w:color="1C2B4A" w:sz="10" w:space="4"/>
        </w:pBdr>
        <w:spacing w:after="160" w:before="360"/>
      </w:pPr>
      <w:r>
        <w:rPr>
          <w:rFonts w:ascii="Arial" w:cs="Arial" w:eastAsia="Arial" w:hAnsi="Arial"/>
          <w:b/>
          <w:bCs/>
          <w:color w:val="1C2B4A"/>
          <w:sz w:val="30"/>
          <w:szCs w:val="30"/>
        </w:rPr>
        <w:t xml:space="preserve">Example 4 — Industry-Targeted Phishing</w:t>
      </w:r>
    </w:p>
    <w:p>
      <w:pPr>
        <w:spacing w:after="100" w:before="200"/>
      </w:pPr>
      <w:r>
        <w:rPr>
          <w:rFonts w:ascii="Arial" w:cs="Arial" w:eastAsia="Arial" w:hAnsi="Arial"/>
          <w:b/>
          <w:bCs/>
          <w:color w:val="1A1A1A"/>
          <w:sz w:val="21"/>
          <w:szCs w:val="21"/>
        </w:rPr>
        <w:t xml:space="preserve">Synthetic Sample (Healthcare Sector Example)</w:t>
      </w:r>
    </w:p>
    <w:p>
      <w:pPr>
        <w:pBdr>
          <w:top w:val="single" w:color="CCCCCC" w:sz="4"/>
          <w:left w:val="single" w:color="CCCCCC" w:sz="4"/>
          <w:right w:val="single" w:color="CCCCCC" w:sz="4"/>
        </w:pBdr>
        <w:shd w:fill="F2F4F7" w:val="clear"/>
        <w:spacing w:after="0" w:before="100"/>
        <w:ind w:left="200" w:right="200"/>
      </w:pPr>
      <w:r>
        <w:rPr>
          <w:rFonts w:ascii="Courier New" w:cs="Courier New" w:eastAsia="Courier New" w:hAnsi="Courier New"/>
          <w:color w:val="1A1A1A"/>
          <w:sz w:val="18"/>
          <w:szCs w:val="18"/>
        </w:rPr>
        <w:t xml:space="preserve">From: EHR Compliance Notice &lt;noreply@health-records-portal.net&gt;</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To: clinical-staff-distribution@[fictional-hospital].org</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Subject: Action required: HIPAA compliance re-certification expiring</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Notice: Your facility's Electronic Health Record system access</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requires re-certification under updated compliance requirements.</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Staff who do not complete re-verification by the deadline below</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will have EHR access suspended pending manual review.</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Deadline: 5 business days</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[Complete Compliance Re-Verification]</w:t>
      </w:r>
    </w:p>
    <w:p>
      <w:pPr>
        <w:pBdr>
          <w:left w:val="single" w:color="CCCCCC" w:sz="4"/>
          <w:right w:val="single" w:color="CCCCCC" w:sz="4"/>
        </w:pBdr>
        <w:shd w:fill="F2F4F7" w:val="clear"/>
        <w:spacing w:after="0" w:before="0"/>
        <w:ind w:left="200" w:right="200"/>
      </w:pPr>
      <w:r>
        <w:rPr>
          <w:rFonts w:ascii="Courier New" w:cs="Courier New" w:eastAsia="Courier New" w:hAnsi="Courier New"/>
          <w:color w:val="1A1A1A"/>
          <w:sz w:val="18"/>
          <w:szCs w:val="18"/>
        </w:rPr>
        <w:t xml:space="preserve"/>
      </w:r>
    </w:p>
    <w:p>
      <w:pPr>
        <w:pBdr>
          <w:bottom w:val="single" w:color="CCCCCC" w:sz="4"/>
          <w:left w:val="single" w:color="CCCCCC" w:sz="4"/>
          <w:right w:val="single" w:color="CCCCCC" w:sz="4"/>
        </w:pBdr>
        <w:shd w:fill="F2F4F7" w:val="clear"/>
        <w:spacing w:after="100" w:before="0"/>
        <w:ind w:left="200" w:right="200"/>
      </w:pPr>
      <w:r>
        <w:rPr>
          <w:rFonts w:ascii="Courier New" w:cs="Courier New" w:eastAsia="Courier New" w:hAnsi="Courier New"/>
          <w:color w:val="1A1A1A"/>
          <w:sz w:val="18"/>
          <w:szCs w:val="18"/>
        </w:rPr>
        <w:t xml:space="preserve">This notice is sent on behalf of your facility's compliance office.</w:t>
      </w:r>
    </w:p>
    <w:p>
      <w:pPr>
        <w:spacing w:after="100" w:before="200"/>
      </w:pPr>
      <w:r>
        <w:rPr>
          <w:rFonts w:ascii="Arial" w:cs="Arial" w:eastAsia="Arial" w:hAnsi="Arial"/>
          <w:b/>
          <w:bCs/>
          <w:color w:val="1A1A1A"/>
          <w:sz w:val="21"/>
          <w:szCs w:val="21"/>
        </w:rPr>
        <w:t xml:space="preserve">Red Flags Identified</w:t>
      </w:r>
    </w:p>
    <w:p>
      <w:pPr>
        <w:spacing w:after="40" w:before="40"/>
        <w:ind w:left="360" w:hanging="360"/>
      </w:pPr>
      <w:r>
        <w:rPr>
          <w:rFonts w:ascii="Arial" w:cs="Arial" w:eastAsia="Arial" w:hAnsi="Arial"/>
          <w:b/>
          <w:bCs/>
          <w:color w:val="B23A2E"/>
          <w:sz w:val="20"/>
          <w:szCs w:val="20"/>
        </w:rPr>
        <w:t xml:space="preserve">[1] </w:t>
      </w:r>
      <w:r>
        <w:rPr>
          <w:rFonts w:ascii="Arial" w:cs="Arial" w:eastAsia="Arial" w:hAnsi="Arial"/>
          <w:sz w:val="20"/>
          <w:szCs w:val="20"/>
        </w:rPr>
        <w:t xml:space="preserve">Sender domain “health-records-portal.net” impersonates a generic EHR vendor rather than a specific known one — a deliberate choice that allows the same template to be reused across many different healthcare organisations without needing per-target customisation.</w:t>
      </w:r>
    </w:p>
    <w:p>
      <w:pPr>
        <w:spacing w:after="40" w:before="40"/>
        <w:ind w:left="360" w:hanging="360"/>
      </w:pPr>
      <w:r>
        <w:rPr>
          <w:rFonts w:ascii="Arial" w:cs="Arial" w:eastAsia="Arial" w:hAnsi="Arial"/>
          <w:b/>
          <w:bCs/>
          <w:color w:val="B23A2E"/>
          <w:sz w:val="20"/>
          <w:szCs w:val="20"/>
        </w:rPr>
        <w:t xml:space="preserve">[2] </w:t>
      </w:r>
      <w:r>
        <w:rPr>
          <w:rFonts w:ascii="Arial" w:cs="Arial" w:eastAsia="Arial" w:hAnsi="Arial"/>
          <w:sz w:val="20"/>
          <w:szCs w:val="20"/>
        </w:rPr>
        <w:t xml:space="preserve">Uses real industry terminology and regulatory framing (HIPAA, EHR, re-certification) that would be immediately credible to clinical staff but meaningless as a red flag to a general security filter not tuned for healthcare-specific language.</w:t>
      </w:r>
    </w:p>
    <w:p>
      <w:pPr>
        <w:spacing w:after="40" w:before="40"/>
        <w:ind w:left="360" w:hanging="360"/>
      </w:pPr>
      <w:r>
        <w:rPr>
          <w:rFonts w:ascii="Arial" w:cs="Arial" w:eastAsia="Arial" w:hAnsi="Arial"/>
          <w:b/>
          <w:bCs/>
          <w:color w:val="B23A2E"/>
          <w:sz w:val="20"/>
          <w:szCs w:val="20"/>
        </w:rPr>
        <w:t xml:space="preserve">[3] </w:t>
      </w:r>
      <w:r>
        <w:rPr>
          <w:rFonts w:ascii="Arial" w:cs="Arial" w:eastAsia="Arial" w:hAnsi="Arial"/>
          <w:sz w:val="20"/>
          <w:szCs w:val="20"/>
        </w:rPr>
        <w:t xml:space="preserve">Distribution to a group alias (“clinical-staff-distribution”) rather than an individual — broader than spear phishing’s single-target precision, but far more credible than generic SPAM because of the sector-specific framing.</w:t>
      </w:r>
    </w:p>
    <w:p>
      <w:pPr>
        <w:spacing w:after="40" w:before="40"/>
        <w:ind w:left="360" w:hanging="360"/>
      </w:pPr>
      <w:r>
        <w:rPr>
          <w:rFonts w:ascii="Arial" w:cs="Arial" w:eastAsia="Arial" w:hAnsi="Arial"/>
          <w:b/>
          <w:bCs/>
          <w:color w:val="B23A2E"/>
          <w:sz w:val="20"/>
          <w:szCs w:val="20"/>
        </w:rPr>
        <w:t xml:space="preserve">[4] </w:t>
      </w:r>
      <w:r>
        <w:rPr>
          <w:rFonts w:ascii="Arial" w:cs="Arial" w:eastAsia="Arial" w:hAnsi="Arial"/>
          <w:sz w:val="20"/>
          <w:szCs w:val="20"/>
        </w:rPr>
        <w:t xml:space="preserve">Threat of access suspension tied to a compliance deadline — exploits real anxiety around regulatory compliance that exists specifically in regulated industries (healthcare, finance, critical infrastructure).</w:t>
      </w:r>
    </w:p>
    <w:p>
      <w:pPr>
        <w:spacing w:after="40" w:before="40"/>
        <w:ind w:left="360" w:hanging="360"/>
      </w:pPr>
      <w:r>
        <w:rPr>
          <w:rFonts w:ascii="Arial" w:cs="Arial" w:eastAsia="Arial" w:hAnsi="Arial"/>
          <w:b/>
          <w:bCs/>
          <w:color w:val="B23A2E"/>
          <w:sz w:val="20"/>
          <w:szCs w:val="20"/>
        </w:rPr>
        <w:t xml:space="preserve">[5] </w:t>
      </w:r>
      <w:r>
        <w:rPr>
          <w:rFonts w:ascii="Arial" w:cs="Arial" w:eastAsia="Arial" w:hAnsi="Arial"/>
          <w:sz w:val="20"/>
          <w:szCs w:val="20"/>
        </w:rPr>
        <w:t xml:space="preserve">Vague authority claim (“sent on behalf of your facility’s compliance office”) without naming a specific person or referencing the facility's actual EHR vendor by name — a generalisation that real internal compliance notices would not typically need to make.</w:t>
      </w:r>
    </w:p>
    <w:p>
      <w:pPr>
        <w:spacing w:after="100" w:before="200"/>
      </w:pPr>
      <w:r>
        <w:rPr>
          <w:rFonts w:ascii="Arial" w:cs="Arial" w:eastAsia="Arial" w:hAnsi="Arial"/>
          <w:b/>
          <w:bCs/>
          <w:color w:val="555555"/>
          <w:sz w:val="21"/>
          <w:szCs w:val="21"/>
        </w:rPr>
        <w:t xml:space="preserve">Expected Authentication Result</w:t>
      </w:r>
    </w:p>
    <w:p>
      <w:pPr>
        <w:spacing w:after="120" w:before="60"/>
      </w:pPr>
      <w:r>
        <w:rPr>
          <w:rFonts w:ascii="Arial" w:cs="Arial" w:eastAsia="Arial" w:hAnsi="Arial"/>
          <w:i/>
          <w:iCs/>
          <w:color w:val="1A1A1A"/>
          <w:sz w:val="20"/>
          <w:szCs w:val="20"/>
        </w:rPr>
        <w:t xml:space="preserve">Similar pattern to spear phishing and whaling — the sending domain is attacker-controlled and may pass authentication. The investigative differentiator here is checking whether the referenced vendor or system matches the organisation's actual EHR platform and known compliance office contact — industry-targeted phishing is often built to be plausible across many organisations in a sector rather than precisely tailored to one, so it sometimes contains details that are slightly generic when checked against the specific target.</w:t>
      </w:r>
    </w:p>
    <w:p>
      <w:pPr>
        <w:pBdr>
          <w:left w:val="single" w:color="1A6B3C" w:sz="24" w:space="8"/>
        </w:pBdr>
        <w:shd w:fill="EAF3DE" w:val="clear"/>
        <w:spacing w:after="200" w:before="160"/>
        <w:ind w:left="100"/>
      </w:pPr>
      <w:r>
        <w:rPr>
          <w:rFonts w:ascii="Arial" w:cs="Arial" w:eastAsia="Arial" w:hAnsi="Arial"/>
          <w:b/>
          <w:bCs/>
          <w:color w:val="27500A"/>
          <w:sz w:val="20"/>
          <w:szCs w:val="20"/>
        </w:rPr>
        <w:t xml:space="preserve">Classification: Industry-Targeted (Vertical) Phishing. Evidence: sector-specific terminology and regulatory pretext, distribution to a sector-relevant group rather than one individual, and content that would only be credible within this specific industry context.</w:t>
      </w:r>
    </w:p>
    <w:p>
      <w:pPr>
        <w:pStyle w:val="Heading1"/>
        <w:pBdr>
          <w:bottom w:val="single" w:color="1C2B4A" w:sz="10" w:space="4"/>
        </w:pBdr>
        <w:spacing w:after="160" w:before="360"/>
      </w:pPr>
      <w:r>
        <w:rPr>
          <w:rFonts w:ascii="Arial" w:cs="Arial" w:eastAsia="Arial" w:hAnsi="Arial"/>
          <w:b/>
          <w:bCs/>
          <w:color w:val="1C2B4A"/>
          <w:sz w:val="30"/>
          <w:szCs w:val="30"/>
        </w:rPr>
        <w:t xml:space="preserve">Summary: Distinguishing the Four Types at a Glance</w:t>
      </w:r>
    </w:p>
    <w:p>
      <w:pPr>
        <w:spacing w:after="120" w:before="60"/>
      </w:pPr>
      <w:r>
        <w:rPr>
          <w:rFonts w:ascii="Arial" w:cs="Arial" w:eastAsia="Arial" w:hAnsi="Arial"/>
          <w:i w:val="false"/>
          <w:iCs w:val="false"/>
          <w:color w:val="1A1A1A"/>
          <w:sz w:val="20"/>
          <w:szCs w:val="20"/>
        </w:rPr>
        <w:t xml:space="preserve">The clearest single differentiator across all four types is the precision-to-effort ratio. Broad-based SPAM invests minimal effort in exchange for massive reach. Spear phishing invests targeted reconnaissance effort against one person. Whaling invests the same reconnaissance effort but specifically engineers psychological controls-bypass language (confidentiality, urgency, authority) because the target has the authority to cause large financial damage. Industry-targeted phishing trades individual-level personalisation for sector-level credibility, allowing one campaign template to be reused at scale across many similar organisations.</w:t>
      </w:r>
    </w:p>
    <w:p>
      <w:pPr>
        <w:spacing w:after="120" w:before="60"/>
      </w:pPr>
      <w:r>
        <w:rPr>
          <w:rFonts w:ascii="Arial" w:cs="Arial" w:eastAsia="Arial" w:hAnsi="Arial"/>
          <w:i w:val="false"/>
          <w:iCs w:val="false"/>
          <w:color w:val="1A1A1A"/>
          <w:sz w:val="20"/>
          <w:szCs w:val="20"/>
        </w:rPr>
        <w:t xml:space="preserve">In a real SOC investigation, the same five-step checklist (sender pattern → authentication → content red flags → payload → classification) applies regardless of type. What changes is which signals carry the most weight: domain typosquatting matters most for SPAM, contextual plausibility matters most for spear phishing, controls-bypass language matters most for whaling, and sector-specific credibility matters most for industry-targeted attacks.</w:t>
      </w:r>
    </w:p>
    <w:p>
      <w:pPr>
        <w:pStyle w:val="Heading1"/>
        <w:pBdr>
          <w:bottom w:val="single" w:color="1C2B4A" w:sz="10" w:space="4"/>
        </w:pBdr>
        <w:spacing w:after="160" w:before="360"/>
      </w:pPr>
      <w:r>
        <w:rPr>
          <w:rFonts w:ascii="Arial" w:cs="Arial" w:eastAsia="Arial" w:hAnsi="Arial"/>
          <w:b/>
          <w:bCs/>
          <w:color w:val="1C2B4A"/>
          <w:sz w:val="30"/>
          <w:szCs w:val="30"/>
        </w:rPr>
        <w:t xml:space="preserve">Next Steps for This Project</w:t>
      </w:r>
    </w:p>
    <w:p>
      <w:pPr>
        <w:pStyle w:val="ListParagraph"/>
        <w:numPr>
          <w:ilvl w:val="0"/>
          <w:numId w:val="2"/>
        </w:numPr>
        <w:spacing w:after="30" w:before="30"/>
        <w:ind w:left="360" w:hanging="360"/>
      </w:pPr>
      <w:r>
        <w:rPr>
          <w:rFonts w:ascii="Arial" w:cs="Arial" w:eastAsia="Arial" w:hAnsi="Arial"/>
          <w:b w:val="false"/>
          <w:bCs w:val="false"/>
          <w:sz w:val="20"/>
          <w:szCs w:val="20"/>
        </w:rPr>
        <w:t xml:space="preserve">Replace synthetic examples with de-identified real samples sourced from PhishTank/OpenPhish as they are collected, preserving this same analysis structure.</w:t>
      </w:r>
    </w:p>
    <w:p>
      <w:pPr>
        <w:pStyle w:val="ListParagraph"/>
        <w:numPr>
          <w:ilvl w:val="0"/>
          <w:numId w:val="2"/>
        </w:numPr>
        <w:spacing w:after="30" w:before="30"/>
        <w:ind w:left="360" w:hanging="360"/>
      </w:pPr>
      <w:r>
        <w:rPr>
          <w:rFonts w:ascii="Arial" w:cs="Arial" w:eastAsia="Arial" w:hAnsi="Arial"/>
          <w:b w:val="false"/>
          <w:bCs w:val="false"/>
          <w:sz w:val="20"/>
          <w:szCs w:val="20"/>
        </w:rPr>
        <w:t xml:space="preserve">Extend the existing Wazuh/SOAR lab (see SOC Automation project) with an email security detection use case applying these red-flag indicators as automated SOAR enrichment checks.</w:t>
      </w:r>
    </w:p>
    <w:p>
      <w:pPr>
        <w:pStyle w:val="ListParagraph"/>
        <w:numPr>
          <w:ilvl w:val="0"/>
          <w:numId w:val="2"/>
        </w:numPr>
        <w:spacing w:after="30" w:before="30"/>
        <w:ind w:left="360" w:hanging="360"/>
      </w:pPr>
      <w:r>
        <w:rPr>
          <w:rFonts w:ascii="Arial" w:cs="Arial" w:eastAsia="Arial" w:hAnsi="Arial"/>
          <w:b w:val="false"/>
          <w:bCs w:val="false"/>
          <w:sz w:val="20"/>
          <w:szCs w:val="20"/>
        </w:rPr>
        <w:t xml:space="preserve">Cross-reference each classification against MITRE ATT&amp;CK technique T1566 (Phishing) and its sub-techniques (T1566.001 Spearphishing Attachment, T1566.002 Spearphishing Link, T1566.003 Spearphishing via Service) for SOC documentation consistency.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2026-06-30T08:40:23.512Z</dcterms:created>
  <dcterms:modified xsi:type="dcterms:W3CDTF">2026-06-30T08:40:23.512Z</dcterms:modified>
</cp:coreProperties>
</file>

<file path=docProps/custom.xml><?xml version="1.0" encoding="utf-8"?>
<Properties xmlns="http://schemas.openxmlformats.org/officeDocument/2006/custom-properties" xmlns:vt="http://schemas.openxmlformats.org/officeDocument/2006/docPropsVTypes"/>
</file>