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5F"/>
          <w:sz w:val="46"/>
          <w:szCs w:val="46"/>
        </w:rPr>
        <w:t xml:space="preserve">Problem Space PRD</w:t>
      </w:r>
    </w:p>
    <w:p>
      <w:pPr>
        <w:spacing w:after="30"/>
      </w:pPr>
      <w:r>
        <w:rPr>
          <w:color w:val="2E7D8A"/>
          <w:sz w:val="26"/>
          <w:szCs w:val="26"/>
        </w:rPr>
        <w:t xml:space="preserve">Micro-Licensing Guidance for India's Small Businesses</w:t>
      </w:r>
    </w:p>
    <w:p>
      <w:pPr>
        <w:spacing w:after="30"/>
      </w:pPr>
      <w:r>
        <w:rPr>
          <w:i/>
          <w:iCs/>
          <w:color w:val="5A5A5A"/>
          <w:sz w:val="20"/>
          <w:szCs w:val="20"/>
        </w:rPr>
        <w:t xml:space="preserve">Working title: LicenseSaathi (provisional)</w:t>
      </w:r>
    </w:p>
    <w:p>
      <w:pPr>
        <w:pBdr>
          <w:bottom w:val="single" w:color="CCCCCC" w:sz="6" w:space="6"/>
        </w:pBdr>
        <w:spacing w:after="140" w:before="1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rPr>
          <w:tblHeader/>
        </w:trPr>
        <w:tc>
          <w:tcPr>
            <w:tcW w:type="dxa" w:w="2200"/>
            <w:shd w:fill="1F4E5F" w:val="clear"/>
            <w:tcMar>
              <w:top w:type="dxa" w:w="60"/>
              <w:left w:type="dxa" w:w="90"/>
              <w:bottom w:type="dxa" w:w="60"/>
              <w:right w:type="dxa" w:w="90"/>
            </w:tcMar>
          </w:tcPr>
          <w:p>
            <w:r>
              <w:rPr>
                <w:b/>
                <w:bCs/>
                <w:color w:val="FFFFFF"/>
                <w:sz w:val="19"/>
                <w:szCs w:val="19"/>
              </w:rPr>
              <w:t xml:space="preserve">Field</w:t>
            </w:r>
          </w:p>
        </w:tc>
        <w:tc>
          <w:tcPr>
            <w:tcW w:type="dxa" w:w="7000"/>
            <w:shd w:fill="1F4E5F" w:val="clear"/>
            <w:tcMar>
              <w:top w:type="dxa" w:w="60"/>
              <w:left w:type="dxa" w:w="90"/>
              <w:bottom w:type="dxa" w:w="60"/>
              <w:right w:type="dxa" w:w="90"/>
            </w:tcMar>
          </w:tcPr>
          <w:p>
            <w:r>
              <w:rPr>
                <w:b/>
                <w:bCs/>
                <w:color w:val="FFFFFF"/>
                <w:sz w:val="19"/>
                <w:szCs w:val="19"/>
              </w:rPr>
              <w:t xml:space="preserve">Detail</w:t>
            </w:r>
          </w:p>
        </w:tc>
      </w:tr>
      <w:tr>
        <w:tc>
          <w:tcPr>
            <w:tcW w:type="dxa" w:w="2200"/>
            <w:shd w:fill="FFFFFF" w:val="clear"/>
            <w:tcMar>
              <w:top w:type="dxa" w:w="55"/>
              <w:left w:type="dxa" w:w="90"/>
              <w:bottom w:type="dxa" w:w="55"/>
              <w:right w:type="dxa" w:w="90"/>
            </w:tcMar>
          </w:tcPr>
          <w:p>
            <w:pPr>
              <w:spacing w:after="20" w:line="250"/>
            </w:pPr>
            <w:r>
              <w:rPr>
                <w:sz w:val="18"/>
                <w:szCs w:val="18"/>
              </w:rPr>
              <w:t xml:space="preserve">Author</w:t>
            </w:r>
          </w:p>
        </w:tc>
        <w:tc>
          <w:tcPr>
            <w:tcW w:type="dxa" w:w="7000"/>
            <w:shd w:fill="FFFFFF" w:val="clear"/>
            <w:tcMar>
              <w:top w:type="dxa" w:w="55"/>
              <w:left w:type="dxa" w:w="90"/>
              <w:bottom w:type="dxa" w:w="55"/>
              <w:right w:type="dxa" w:w="90"/>
            </w:tcMar>
          </w:tcPr>
          <w:p>
            <w:pPr>
              <w:spacing w:after="20" w:line="250"/>
            </w:pPr>
            <w:r>
              <w:rPr>
                <w:sz w:val="18"/>
                <w:szCs w:val="18"/>
              </w:rPr>
              <w:t xml:space="preserve">Kunal Agarwal</w:t>
            </w:r>
          </w:p>
        </w:tc>
      </w:tr>
      <w:tr>
        <w:tc>
          <w:tcPr>
            <w:tcW w:type="dxa" w:w="2200"/>
            <w:shd w:fill="F5F8F9" w:val="clear"/>
            <w:tcMar>
              <w:top w:type="dxa" w:w="55"/>
              <w:left w:type="dxa" w:w="90"/>
              <w:bottom w:type="dxa" w:w="55"/>
              <w:right w:type="dxa" w:w="90"/>
            </w:tcMar>
          </w:tcPr>
          <w:p>
            <w:pPr>
              <w:spacing w:after="20" w:line="250"/>
            </w:pPr>
            <w:r>
              <w:rPr>
                <w:sz w:val="18"/>
                <w:szCs w:val="18"/>
              </w:rPr>
              <w:t xml:space="preserve">Case study</w:t>
            </w:r>
          </w:p>
        </w:tc>
        <w:tc>
          <w:tcPr>
            <w:tcW w:type="dxa" w:w="7000"/>
            <w:shd w:fill="F5F8F9" w:val="clear"/>
            <w:tcMar>
              <w:top w:type="dxa" w:w="55"/>
              <w:left w:type="dxa" w:w="90"/>
              <w:bottom w:type="dxa" w:w="55"/>
              <w:right w:type="dxa" w:w="90"/>
            </w:tcMar>
          </w:tcPr>
          <w:p>
            <w:pPr>
              <w:spacing w:after="20" w:line="250"/>
            </w:pPr>
            <w:r>
              <w:rPr>
                <w:sz w:val="18"/>
                <w:szCs w:val="18"/>
              </w:rPr>
              <w:t xml:space="preserve">Final Case Study — Government &amp; Public Sector (Cohort 8)</w:t>
            </w:r>
          </w:p>
        </w:tc>
      </w:tr>
      <w:tr>
        <w:tc>
          <w:tcPr>
            <w:tcW w:type="dxa" w:w="2200"/>
            <w:shd w:fill="FFFFFF" w:val="clear"/>
            <w:tcMar>
              <w:top w:type="dxa" w:w="55"/>
              <w:left w:type="dxa" w:w="90"/>
              <w:bottom w:type="dxa" w:w="55"/>
              <w:right w:type="dxa" w:w="90"/>
            </w:tcMar>
          </w:tcPr>
          <w:p>
            <w:pPr>
              <w:spacing w:after="20" w:line="250"/>
            </w:pPr>
            <w:r>
              <w:rPr>
                <w:sz w:val="18"/>
                <w:szCs w:val="18"/>
              </w:rPr>
              <w:t xml:space="preserve">Phase</w:t>
            </w:r>
          </w:p>
        </w:tc>
        <w:tc>
          <w:tcPr>
            <w:tcW w:type="dxa" w:w="7000"/>
            <w:shd w:fill="FFFFFF" w:val="clear"/>
            <w:tcMar>
              <w:top w:type="dxa" w:w="55"/>
              <w:left w:type="dxa" w:w="90"/>
              <w:bottom w:type="dxa" w:w="55"/>
              <w:right w:type="dxa" w:w="90"/>
            </w:tcMar>
          </w:tcPr>
          <w:p>
            <w:pPr>
              <w:spacing w:after="20" w:line="250"/>
            </w:pPr>
            <w:r>
              <w:rPr>
                <w:sz w:val="18"/>
                <w:szCs w:val="18"/>
              </w:rPr>
              <w:t xml:space="preserve">Discover → Define (first diamond). Solution design intentionally out of scope.</w:t>
            </w:r>
          </w:p>
        </w:tc>
      </w:tr>
      <w:tr>
        <w:tc>
          <w:tcPr>
            <w:tcW w:type="dxa" w:w="2200"/>
            <w:shd w:fill="F5F8F9" w:val="clear"/>
            <w:tcMar>
              <w:top w:type="dxa" w:w="55"/>
              <w:left w:type="dxa" w:w="90"/>
              <w:bottom w:type="dxa" w:w="55"/>
              <w:right w:type="dxa" w:w="90"/>
            </w:tcMar>
          </w:tcPr>
          <w:p>
            <w:pPr>
              <w:spacing w:after="20" w:line="250"/>
            </w:pPr>
            <w:r>
              <w:rPr>
                <w:sz w:val="18"/>
                <w:szCs w:val="18"/>
              </w:rPr>
              <w:t xml:space="preserve">Document version</w:t>
            </w:r>
          </w:p>
        </w:tc>
        <w:tc>
          <w:tcPr>
            <w:tcW w:type="dxa" w:w="7000"/>
            <w:shd w:fill="F5F8F9" w:val="clear"/>
            <w:tcMar>
              <w:top w:type="dxa" w:w="55"/>
              <w:left w:type="dxa" w:w="90"/>
              <w:bottom w:type="dxa" w:w="55"/>
              <w:right w:type="dxa" w:w="90"/>
            </w:tcMar>
          </w:tcPr>
          <w:p>
            <w:pPr>
              <w:spacing w:after="20" w:line="250"/>
            </w:pPr>
            <w:r>
              <w:rPr>
                <w:sz w:val="18"/>
                <w:szCs w:val="18"/>
              </w:rPr>
              <w:t xml:space="preserve">v0.1 — Problem Space</w:t>
            </w:r>
          </w:p>
        </w:tc>
      </w:tr>
      <w:tr>
        <w:tc>
          <w:tcPr>
            <w:tcW w:type="dxa" w:w="2200"/>
            <w:shd w:fill="FFFFFF" w:val="clear"/>
            <w:tcMar>
              <w:top w:type="dxa" w:w="55"/>
              <w:left w:type="dxa" w:w="90"/>
              <w:bottom w:type="dxa" w:w="55"/>
              <w:right w:type="dxa" w:w="90"/>
            </w:tcMar>
          </w:tcPr>
          <w:p>
            <w:pPr>
              <w:spacing w:after="20" w:line="250"/>
            </w:pPr>
            <w:r>
              <w:rPr>
                <w:sz w:val="18"/>
                <w:szCs w:val="18"/>
              </w:rPr>
              <w:t xml:space="preserve">Date</w:t>
            </w:r>
          </w:p>
        </w:tc>
        <w:tc>
          <w:tcPr>
            <w:tcW w:type="dxa" w:w="7000"/>
            <w:shd w:fill="FFFFFF" w:val="clear"/>
            <w:tcMar>
              <w:top w:type="dxa" w:w="55"/>
              <w:left w:type="dxa" w:w="90"/>
              <w:bottom w:type="dxa" w:w="55"/>
              <w:right w:type="dxa" w:w="90"/>
            </w:tcMar>
          </w:tcPr>
          <w:p>
            <w:pPr>
              <w:spacing w:after="20" w:line="250"/>
            </w:pPr>
            <w:r>
              <w:rPr>
                <w:sz w:val="18"/>
                <w:szCs w:val="18"/>
              </w:rPr>
              <w:t xml:space="preserve">1 September 2026</w:t>
            </w:r>
          </w:p>
        </w:tc>
      </w:tr>
      <w:tr>
        <w:tc>
          <w:tcPr>
            <w:tcW w:type="dxa" w:w="2200"/>
            <w:shd w:fill="F5F8F9" w:val="clear"/>
            <w:tcMar>
              <w:top w:type="dxa" w:w="55"/>
              <w:left w:type="dxa" w:w="90"/>
              <w:bottom w:type="dxa" w:w="55"/>
              <w:right w:type="dxa" w:w="90"/>
            </w:tcMar>
          </w:tcPr>
          <w:p>
            <w:pPr>
              <w:spacing w:after="20" w:line="250"/>
            </w:pPr>
            <w:r>
              <w:rPr>
                <w:sz w:val="18"/>
                <w:szCs w:val="18"/>
              </w:rPr>
              <w:t xml:space="preserve">Submission target</w:t>
            </w:r>
          </w:p>
        </w:tc>
        <w:tc>
          <w:tcPr>
            <w:tcW w:type="dxa" w:w="7000"/>
            <w:shd w:fill="F5F8F9" w:val="clear"/>
            <w:tcMar>
              <w:top w:type="dxa" w:w="55"/>
              <w:left w:type="dxa" w:w="90"/>
              <w:bottom w:type="dxa" w:w="55"/>
              <w:right w:type="dxa" w:w="90"/>
            </w:tcMar>
          </w:tcPr>
          <w:p>
            <w:pPr>
              <w:spacing w:after="20" w:line="250"/>
            </w:pPr>
            <w:r>
              <w:rPr>
                <w:sz w:val="18"/>
                <w:szCs w:val="18"/>
              </w:rPr>
              <w:t xml:space="preserve">6 September 2026</w:t>
            </w:r>
          </w:p>
        </w:tc>
      </w:tr>
      <w:tr>
        <w:tc>
          <w:tcPr>
            <w:tcW w:type="dxa" w:w="2200"/>
            <w:shd w:fill="FFFFFF" w:val="clear"/>
            <w:tcMar>
              <w:top w:type="dxa" w:w="55"/>
              <w:left w:type="dxa" w:w="90"/>
              <w:bottom w:type="dxa" w:w="55"/>
              <w:right w:type="dxa" w:w="90"/>
            </w:tcMar>
          </w:tcPr>
          <w:p>
            <w:pPr>
              <w:spacing w:after="20" w:line="250"/>
            </w:pPr>
            <w:r>
              <w:rPr>
                <w:sz w:val="18"/>
                <w:szCs w:val="18"/>
              </w:rPr>
              <w:t xml:space="preserve">Research basis</w:t>
            </w:r>
          </w:p>
        </w:tc>
        <w:tc>
          <w:tcPr>
            <w:tcW w:type="dxa" w:w="7000"/>
            <w:shd w:fill="FFFFFF" w:val="clear"/>
            <w:tcMar>
              <w:top w:type="dxa" w:w="55"/>
              <w:left w:type="dxa" w:w="90"/>
              <w:bottom w:type="dxa" w:w="55"/>
              <w:right w:type="dxa" w:w="90"/>
            </w:tcMar>
          </w:tcPr>
          <w:p>
            <w:pPr>
              <w:spacing w:after="20" w:line="250"/>
            </w:pPr>
            <w:r>
              <w:rPr>
                <w:sz w:val="18"/>
                <w:szCs w:val="18"/>
              </w:rPr>
              <w:t xml:space="preserve">Secondary research only (no primary interviews — see §9 Assumptions &amp; Risks)</w:t>
            </w:r>
          </w:p>
        </w:tc>
      </w:tr>
    </w:tbl>
    <w:p>
      <w:pPr>
        <w:pStyle w:val="Heading1"/>
        <w:spacing w:after="130" w:before="340"/>
      </w:pPr>
      <w:r>
        <w:rPr>
          <w:b/>
          <w:bCs/>
          <w:color w:val="1F4E5F"/>
          <w:sz w:val="28"/>
          <w:szCs w:val="28"/>
        </w:rPr>
        <w:t xml:space="preserve">1.  Overview &amp; purpose</w:t>
      </w:r>
    </w:p>
    <w:p>
      <w:pPr>
        <w:spacing w:after="110" w:line="278"/>
      </w:pPr>
      <w:r>
        <w:rPr>
          <w:sz w:val="21"/>
          <w:szCs w:val="21"/>
        </w:rPr>
        <w:t xml:space="preserve">This document defines the problem space for a government/public-sector product that helps a person starting a small business in India quickly understand which licenses and registrations their specific business needs, in what order, with what documents, fees, and rough timelines.</w:t>
      </w:r>
    </w:p>
    <w:p>
      <w:pPr>
        <w:spacing w:after="110" w:line="278"/>
      </w:pPr>
      <w:r>
        <w:rPr>
          <w:sz w:val="21"/>
          <w:szCs w:val="21"/>
        </w:rPr>
        <w:t xml:space="preserve">It deliberately stops at the problem definition. It states who has the pain, what the pain is, the evidence for it, and the scope and risks. Solution design, information architecture, and build decisions are left to a separate Solution PRD so they can be worked out during the build.</w:t>
      </w:r>
    </w:p>
    <w:p>
      <w:pPr>
        <w:pBdr>
          <w:left w:val="single" w:color="2E7D8A" w:sz="18" w:space="10"/>
        </w:pBdr>
        <w:shd w:fill="EEF4F6" w:val="clear"/>
        <w:spacing w:after="110" w:line="272"/>
        <w:ind w:left="150" w:right="150"/>
      </w:pPr>
      <w:r>
        <w:rPr>
          <w:i/>
          <w:iCs/>
          <w:color w:val="333333"/>
          <w:sz w:val="20"/>
          <w:szCs w:val="20"/>
        </w:rPr>
        <w:t xml:space="preserve">Scope discipline note: the case-study brief explicitly rewards a small, functional product over a broad concept. This PRD keeps the problem narrow on purpose — one persona set, one city for the MVP — so the build stays shippable in the available time.</w:t>
      </w:r>
    </w:p>
    <w:p>
      <w:pPr>
        <w:pStyle w:val="Heading1"/>
        <w:spacing w:after="130" w:before="340"/>
      </w:pPr>
      <w:r>
        <w:rPr>
          <w:b/>
          <w:bCs/>
          <w:color w:val="1F4E5F"/>
          <w:sz w:val="28"/>
          <w:szCs w:val="28"/>
        </w:rPr>
        <w:t xml:space="preserve">2.  Background &amp; context</w:t>
      </w:r>
    </w:p>
    <w:p>
      <w:pPr>
        <w:spacing w:after="110" w:line="278"/>
      </w:pPr>
      <w:r>
        <w:rPr>
          <w:sz w:val="21"/>
          <w:szCs w:val="21"/>
        </w:rPr>
        <w:t xml:space="preserve">Government touches nearly every small business through the licenses and registrations required to operate legally. For a new micro-entrepreneur, the experience is still largely built around forms, portals, offices, and follow-ups spread across multiple, unconnected authorities — central (e.g. FSSAI, GST), state (e.g. Shops &amp; Establishment), and municipal (e.g. trade/health license, fire NOC).</w:t>
      </w:r>
    </w:p>
    <w:p>
      <w:pPr>
        <w:spacing w:after="110" w:line="278"/>
      </w:pPr>
      <w:r>
        <w:rPr>
          <w:sz w:val="21"/>
          <w:szCs w:val="21"/>
        </w:rPr>
        <w:t xml:space="preserve">Even a single home food business can touch FSSAI registration, GST (conditional on turnover and sales channel), a municipal trade/health license, Shops &amp; Establishment registration, and sometimes a Fire NOC. Requirements, sequence, fees, and timelines vary by state and city, and no single authoritative source tells an individual exactly what their specific business needs.</w:t>
      </w:r>
    </w:p>
    <w:p>
      <w:pPr>
        <w:spacing w:after="110" w:line="278"/>
      </w:pPr>
      <w:r>
        <w:rPr>
          <w:sz w:val="21"/>
          <w:szCs w:val="21"/>
        </w:rPr>
        <w:t xml:space="preserve">Global public services have shown this can work better. Singapore's GoBusiness Licensing model lets an applicant describe what they intend to do and receive the full set of licenses that apply, in one guided place. India has fragmented per-department portals but no equivalent "tell me what I'm doing, I'll tell you every license I need" guidance layer for micro-businesses. </w:t>
      </w:r>
      <w:r>
        <w:rPr>
          <w:i/>
          <w:iCs/>
          <w:color w:val="5A5A5A"/>
          <w:sz w:val="19"/>
          <w:szCs w:val="19"/>
        </w:rPr>
        <w:t xml:space="preserve">(Global reference used for inspiration; details should be verified before citing externally.)</w:t>
      </w:r>
    </w:p>
    <w:p>
      <w:pPr>
        <w:pStyle w:val="Heading1"/>
        <w:spacing w:after="130" w:before="340"/>
      </w:pPr>
      <w:r>
        <w:rPr>
          <w:b/>
          <w:bCs/>
          <w:color w:val="1F4E5F"/>
          <w:sz w:val="28"/>
          <w:szCs w:val="28"/>
        </w:rPr>
        <w:t xml:space="preserve">3.  Problem statement</w:t>
      </w:r>
    </w:p>
    <w:p>
      <w:pPr>
        <w:pBdr>
          <w:left w:val="single" w:color="1F4E5F" w:sz="22" w:space="14"/>
        </w:pBdr>
        <w:spacing w:after="120" w:line="288"/>
        <w:ind w:left="260"/>
      </w:pPr>
      <w:r>
        <w:rPr>
          <w:b/>
          <w:bCs/>
          <w:sz w:val="24"/>
          <w:szCs w:val="24"/>
        </w:rPr>
        <w:t xml:space="preserve">A first-time micro-business owner in India cannot easily find out which licenses and registrations their specific business needs — or in what order — so they stall, overpay intermediaries, or begin operating in fear of penalties.</w:t>
      </w:r>
    </w:p>
    <w:p>
      <w:pPr>
        <w:pStyle w:val="Heading2"/>
        <w:spacing w:after="90" w:before="220"/>
      </w:pPr>
      <w:r>
        <w:rPr>
          <w:b/>
          <w:bCs/>
          <w:color w:val="2E7D8A"/>
          <w:sz w:val="24"/>
          <w:szCs w:val="24"/>
        </w:rPr>
        <w:t xml:space="preserve">Underlying hypothesis</w:t>
      </w:r>
    </w:p>
    <w:p>
      <w:pPr>
        <w:spacing w:after="110" w:line="278"/>
      </w:pPr>
      <w:r>
        <w:rPr>
          <w:sz w:val="21"/>
          <w:szCs w:val="21"/>
        </w:rPr>
        <w:t xml:space="preserve">The core unmet need is discovery and sequencing, not application. Secondary research repeatedly shows people already suspect a license is required; their real hesitation is which one applies to them and what to do first. The sharpest, most solvable gap is therefore a trustworthy, personalized "what do I need, in what order" answer — which can be delivered without any government backend integration.</w:t>
      </w:r>
    </w:p>
    <w:p>
      <w:pPr>
        <w:pStyle w:val="Heading1"/>
        <w:spacing w:after="130" w:before="340"/>
      </w:pPr>
      <w:r>
        <w:rPr>
          <w:b/>
          <w:bCs/>
          <w:color w:val="1F4E5F"/>
          <w:sz w:val="28"/>
          <w:szCs w:val="28"/>
        </w:rPr>
        <w:t xml:space="preserve">4.  Why this matters</w:t>
      </w:r>
    </w:p>
    <w:p>
      <w:pPr>
        <w:pStyle w:val="ListParagraph"/>
        <w:numPr>
          <w:ilvl w:val="0"/>
          <w:numId w:val="2"/>
        </w:numPr>
        <w:spacing w:after="66" w:line="272"/>
      </w:pPr>
      <w:r>
        <w:rPr>
          <w:b/>
          <w:bCs/>
          <w:sz w:val="21"/>
          <w:szCs w:val="21"/>
        </w:rPr>
        <w:t xml:space="preserve">Breadth of impact. </w:t>
      </w:r>
      <w:r>
        <w:rPr>
          <w:sz w:val="21"/>
          <w:szCs w:val="21"/>
        </w:rPr>
        <w:t xml:space="preserve">Licensing friction affects almost every new small business — food, retail, services, and home-based ventures — across every Indian city.</w:t>
      </w:r>
    </w:p>
    <w:p>
      <w:pPr>
        <w:pStyle w:val="ListParagraph"/>
        <w:numPr>
          <w:ilvl w:val="0"/>
          <w:numId w:val="2"/>
        </w:numPr>
        <w:spacing w:after="66" w:line="272"/>
      </w:pPr>
      <w:r>
        <w:rPr>
          <w:b/>
          <w:bCs/>
          <w:sz w:val="21"/>
          <w:szCs w:val="21"/>
        </w:rPr>
        <w:t xml:space="preserve">Real consequences of getting it wrong. </w:t>
      </w:r>
      <w:r>
        <w:rPr>
          <w:sz w:val="21"/>
          <w:szCs w:val="21"/>
        </w:rPr>
        <w:t xml:space="preserve">Operating without required registration carries genuine penalties; for food businesses, sources cite fines up to ₹5 lakh and even imprisonment under the FSS Act. Fear of this drives avoidance and overpayment.</w:t>
      </w:r>
    </w:p>
    <w:p>
      <w:pPr>
        <w:pStyle w:val="ListParagraph"/>
        <w:numPr>
          <w:ilvl w:val="0"/>
          <w:numId w:val="2"/>
        </w:numPr>
        <w:spacing w:after="66" w:line="272"/>
      </w:pPr>
      <w:r>
        <w:rPr>
          <w:b/>
          <w:bCs/>
          <w:sz w:val="21"/>
          <w:szCs w:val="21"/>
        </w:rPr>
        <w:t xml:space="preserve">A quantifiable cost gap. </w:t>
      </w:r>
      <w:r>
        <w:rPr>
          <w:sz w:val="21"/>
          <w:szCs w:val="21"/>
        </w:rPr>
        <w:t xml:space="preserve">Government fees are low (FSSAI basic registration is ₹100/year), yet intermediaries commonly charge far more — advertised rates range from ~₹999 to ₹6,000 for the same registration. A guidance tool directly targets that 10–60× markup.</w:t>
      </w:r>
    </w:p>
    <w:p>
      <w:pPr>
        <w:pStyle w:val="ListParagraph"/>
        <w:numPr>
          <w:ilvl w:val="0"/>
          <w:numId w:val="2"/>
        </w:numPr>
        <w:spacing w:after="66" w:line="272"/>
      </w:pPr>
      <w:r>
        <w:rPr>
          <w:b/>
          <w:bCs/>
          <w:sz w:val="21"/>
          <w:szCs w:val="21"/>
        </w:rPr>
        <w:t xml:space="preserve">Public-sector fit. </w:t>
      </w:r>
      <w:r>
        <w:rPr>
          <w:sz w:val="21"/>
          <w:szCs w:val="21"/>
        </w:rPr>
        <w:t xml:space="preserve">This is squarely a government-experience problem: improving how citizens interact with government services, exactly the brief's mandate.</w:t>
      </w:r>
    </w:p>
    <w:p>
      <w:pPr>
        <w:spacing w:after="90" w:line="268"/>
      </w:pPr>
      <w:r>
        <w:rPr>
          <w:i/>
          <w:iCs/>
          <w:color w:val="8A5A00"/>
          <w:sz w:val="19"/>
          <w:szCs w:val="19"/>
        </w:rPr>
        <w:t xml:space="preserve">⚠ Figures above come from secondary sources (see §8 and References). Fine amounts and fees should be re-verified against the primary FSSAI/FoSCoS source before external use; the market's own severity framing is itself part of the evidence.</w:t>
      </w:r>
    </w:p>
    <w:p>
      <w:pPr>
        <w:pStyle w:val="Heading1"/>
        <w:spacing w:after="130" w:before="340"/>
      </w:pPr>
      <w:r>
        <w:rPr>
          <w:b/>
          <w:bCs/>
          <w:color w:val="1F4E5F"/>
          <w:sz w:val="28"/>
          <w:szCs w:val="28"/>
        </w:rPr>
        <w:t xml:space="preserve">5.  Target users (personas)</w:t>
      </w:r>
    </w:p>
    <w:p>
      <w:pPr>
        <w:spacing w:after="110" w:line="278"/>
      </w:pPr>
      <w:r>
        <w:rPr>
          <w:sz w:val="21"/>
          <w:szCs w:val="21"/>
        </w:rPr>
        <w:t xml:space="preserve">The MVP targets three “greenfield” personas — people setting up a new business who need to get licensing right from the start. Two adjacent personas (informal operators seeking to regularize; and low-digital-literacy / language-barrier entrepreneurs) are real and high-need but are explicitly out of MVP scope (see §8) because they are harder to serve safely and quickly.</w:t>
      </w:r>
    </w:p>
    <w:p>
      <w:pPr>
        <w:pStyle w:val="Heading2"/>
        <w:spacing w:after="90" w:before="220"/>
      </w:pPr>
      <w:r>
        <w:rPr>
          <w:b/>
          <w:bCs/>
          <w:color w:val="2E7D8A"/>
          <w:sz w:val="24"/>
          <w:szCs w:val="24"/>
        </w:rPr>
        <w:t xml:space="preserve">P1 — The home-based first-timer</w:t>
      </w:r>
    </w:p>
    <w:p>
      <w:pPr>
        <w:spacing w:after="110" w:line="278"/>
      </w:pPr>
      <w:r>
        <w:rPr>
          <w:b/>
          <w:bCs/>
          <w:sz w:val="21"/>
          <w:szCs w:val="21"/>
        </w:rPr>
        <w:t xml:space="preserve">Who: </w:t>
      </w:r>
      <w:r>
        <w:rPr>
          <w:sz w:val="21"/>
          <w:szCs w:val="21"/>
        </w:rPr>
        <w:t xml:space="preserve">home baker, tiffin/cloud-kitchen-from-home, home tutor, small boutique, craft seller. Often selling via Instagram/WhatsApp.</w:t>
      </w:r>
    </w:p>
    <w:p>
      <w:pPr>
        <w:pStyle w:val="ListParagraph"/>
        <w:numPr>
          <w:ilvl w:val="0"/>
          <w:numId w:val="2"/>
        </w:numPr>
        <w:spacing w:after="66" w:line="272"/>
      </w:pPr>
      <w:r>
        <w:rPr>
          <w:sz w:val="21"/>
          <w:szCs w:val="21"/>
        </w:rPr>
        <w:t xml:space="preserve">May not know a license is needed at all; genuine fear of “am I doing something illegal?”</w:t>
      </w:r>
    </w:p>
    <w:p>
      <w:pPr>
        <w:pStyle w:val="ListParagraph"/>
        <w:numPr>
          <w:ilvl w:val="0"/>
          <w:numId w:val="2"/>
        </w:numPr>
        <w:spacing w:after="66" w:line="272"/>
      </w:pPr>
      <w:r>
        <w:rPr>
          <w:sz w:val="21"/>
          <w:szCs w:val="21"/>
        </w:rPr>
        <w:t xml:space="preserve">Awareness is often triggered externally — e.g. a customer asking “are you FSSAI registered?”</w:t>
      </w:r>
    </w:p>
    <w:p>
      <w:pPr>
        <w:pStyle w:val="ListParagraph"/>
        <w:numPr>
          <w:ilvl w:val="0"/>
          <w:numId w:val="2"/>
        </w:numPr>
        <w:spacing w:after="66" w:line="272"/>
      </w:pPr>
      <w:r>
        <w:rPr>
          <w:sz w:val="21"/>
          <w:szCs w:val="21"/>
        </w:rPr>
        <w:t xml:space="preserve">Confused about which tier applies at their tiny scale; commonly conflates FSSAI with GST.</w:t>
      </w:r>
    </w:p>
    <w:p>
      <w:pPr>
        <w:pStyle w:val="ListParagraph"/>
        <w:numPr>
          <w:ilvl w:val="0"/>
          <w:numId w:val="2"/>
        </w:numPr>
        <w:spacing w:after="66" w:line="272"/>
      </w:pPr>
      <w:r>
        <w:rPr>
          <w:sz w:val="21"/>
          <w:szCs w:val="21"/>
        </w:rPr>
        <w:t xml:space="preserve">Very low budget — won't pay an agent thousands for a ₹100 registration, so often skips it or relies on uneven YouTube/WhatsApp advice.</w:t>
      </w:r>
    </w:p>
    <w:p>
      <w:pPr>
        <w:pStyle w:val="Heading2"/>
        <w:spacing w:after="90" w:before="220"/>
      </w:pPr>
      <w:r>
        <w:rPr>
          <w:b/>
          <w:bCs/>
          <w:color w:val="2E7D8A"/>
          <w:sz w:val="24"/>
          <w:szCs w:val="24"/>
        </w:rPr>
        <w:t xml:space="preserve">P2 — The physical-shop retailer</w:t>
      </w:r>
    </w:p>
    <w:p>
      <w:pPr>
        <w:spacing w:after="110" w:line="278"/>
      </w:pPr>
      <w:r>
        <w:rPr>
          <w:b/>
          <w:bCs/>
          <w:sz w:val="21"/>
          <w:szCs w:val="21"/>
        </w:rPr>
        <w:t xml:space="preserve">Who: </w:t>
      </w:r>
      <w:r>
        <w:rPr>
          <w:sz w:val="21"/>
          <w:szCs w:val="21"/>
        </w:rPr>
        <w:t xml:space="preserve">kirana, salon, small café/eatery, mobile repair, garment shop — taking a physical commercial space.</w:t>
      </w:r>
    </w:p>
    <w:p>
      <w:pPr>
        <w:pStyle w:val="ListParagraph"/>
        <w:numPr>
          <w:ilvl w:val="0"/>
          <w:numId w:val="2"/>
        </w:numPr>
        <w:spacing w:after="66" w:line="272"/>
      </w:pPr>
      <w:r>
        <w:rPr>
          <w:sz w:val="21"/>
          <w:szCs w:val="21"/>
        </w:rPr>
        <w:t xml:space="preserve">Needs a bundle (trade/health license + Shops &amp; Establishment + GST + signage, sometimes Fire NOC) and doesn't know the full set or the correct order.</w:t>
      </w:r>
    </w:p>
    <w:p>
      <w:pPr>
        <w:pStyle w:val="ListParagraph"/>
        <w:numPr>
          <w:ilvl w:val="0"/>
          <w:numId w:val="2"/>
        </w:numPr>
        <w:spacing w:after="66" w:line="272"/>
      </w:pPr>
      <w:r>
        <w:rPr>
          <w:sz w:val="21"/>
          <w:szCs w:val="21"/>
        </w:rPr>
        <w:t xml:space="preserve">Location/zoning rules and document lists are opaque and vary city to city.</w:t>
      </w:r>
    </w:p>
    <w:p>
      <w:pPr>
        <w:pStyle w:val="ListParagraph"/>
        <w:numPr>
          <w:ilvl w:val="0"/>
          <w:numId w:val="2"/>
        </w:numPr>
        <w:spacing w:after="66" w:line="272"/>
      </w:pPr>
      <w:r>
        <w:rPr>
          <w:sz w:val="21"/>
          <w:szCs w:val="21"/>
        </w:rPr>
        <w:t xml:space="preserve">Defaults to a local agent/tout out of fear of rejection — then has little visibility into what was actually done or what's pending, and often overpays.</w:t>
      </w:r>
    </w:p>
    <w:p>
      <w:pPr>
        <w:pStyle w:val="Heading2"/>
        <w:spacing w:after="90" w:before="220"/>
      </w:pPr>
      <w:r>
        <w:rPr>
          <w:b/>
          <w:bCs/>
          <w:color w:val="2E7D8A"/>
          <w:sz w:val="24"/>
          <w:szCs w:val="24"/>
        </w:rPr>
        <w:t xml:space="preserve">P3 — The digital-native / platform seller</w:t>
      </w:r>
    </w:p>
    <w:p>
      <w:pPr>
        <w:spacing w:after="110" w:line="278"/>
      </w:pPr>
      <w:r>
        <w:rPr>
          <w:b/>
          <w:bCs/>
          <w:sz w:val="21"/>
          <w:szCs w:val="21"/>
        </w:rPr>
        <w:t xml:space="preserve">Who: </w:t>
      </w:r>
      <w:r>
        <w:rPr>
          <w:sz w:val="21"/>
          <w:szCs w:val="21"/>
        </w:rPr>
        <w:t xml:space="preserve">D2C sellers on Instagram/Amazon/Meesho; cloud kitchens onboarding to Swiggy/Zomato.</w:t>
      </w:r>
    </w:p>
    <w:p>
      <w:pPr>
        <w:pStyle w:val="ListParagraph"/>
        <w:numPr>
          <w:ilvl w:val="0"/>
          <w:numId w:val="2"/>
        </w:numPr>
        <w:spacing w:after="66" w:line="272"/>
      </w:pPr>
      <w:r>
        <w:rPr>
          <w:sz w:val="21"/>
          <w:szCs w:val="21"/>
        </w:rPr>
        <w:t xml:space="preserve">Discovers licensing reactively — a platform blocks onboarding until FSSAI/GST is produced.</w:t>
      </w:r>
    </w:p>
    <w:p>
      <w:pPr>
        <w:pStyle w:val="ListParagraph"/>
        <w:numPr>
          <w:ilvl w:val="0"/>
          <w:numId w:val="2"/>
        </w:numPr>
        <w:spacing w:after="66" w:line="272"/>
      </w:pPr>
      <w:r>
        <w:rPr>
          <w:sz w:val="21"/>
          <w:szCs w:val="21"/>
        </w:rPr>
        <w:t xml:space="preserve">Time-pressured; a “few-day” registration becoming a multi-week blocker directly delays going live and earning.</w:t>
      </w:r>
    </w:p>
    <w:p>
      <w:pPr>
        <w:pStyle w:val="ListParagraph"/>
        <w:numPr>
          <w:ilvl w:val="0"/>
          <w:numId w:val="2"/>
        </w:numPr>
        <w:spacing w:after="66" w:line="272"/>
      </w:pPr>
      <w:r>
        <w:rPr>
          <w:sz w:val="21"/>
          <w:szCs w:val="21"/>
        </w:rPr>
        <w:t xml:space="preserve">High digital literacy → most likely to adopt a self-serve tool and the easiest persona to reach for testing.</w:t>
      </w:r>
    </w:p>
    <w:p>
      <w:pPr>
        <w:pStyle w:val="Heading1"/>
        <w:spacing w:after="130" w:before="340"/>
      </w:pPr>
      <w:r>
        <w:rPr>
          <w:b/>
          <w:bCs/>
          <w:color w:val="1F4E5F"/>
          <w:sz w:val="28"/>
          <w:szCs w:val="28"/>
        </w:rPr>
        <w:t xml:space="preserve">6.  The problem in depth</w:t>
      </w:r>
    </w:p>
    <w:p>
      <w:pPr>
        <w:pStyle w:val="Heading2"/>
        <w:spacing w:after="90" w:before="220"/>
      </w:pPr>
      <w:r>
        <w:rPr>
          <w:b/>
          <w:bCs/>
          <w:color w:val="2E7D8A"/>
          <w:sz w:val="24"/>
          <w:szCs w:val="24"/>
        </w:rPr>
        <w:t xml:space="preserve">6.1  The user journey and where it breaks</w:t>
      </w:r>
    </w:p>
    <w:p>
      <w:pPr>
        <w:spacing w:after="110" w:line="278"/>
      </w:pPr>
      <w:r>
        <w:rPr>
          <w:sz w:val="21"/>
          <w:szCs w:val="21"/>
        </w:rPr>
        <w:t xml:space="preserve">Across all three personas, the same journey spine recurs, breaking at predictable points: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3400"/>
        <w:gridCol w:w="4300"/>
      </w:tblGrid>
      <w:tr>
        <w:trPr>
          <w:tblHeader/>
        </w:trPr>
        <w:tc>
          <w:tcPr>
            <w:tcW w:type="dxa" w:w="1500"/>
            <w:shd w:fill="1F4E5F" w:val="clear"/>
            <w:tcMar>
              <w:top w:type="dxa" w:w="60"/>
              <w:left w:type="dxa" w:w="90"/>
              <w:bottom w:type="dxa" w:w="60"/>
              <w:right w:type="dxa" w:w="90"/>
            </w:tcMar>
          </w:tcPr>
          <w:p>
            <w:r>
              <w:rPr>
                <w:b/>
                <w:bCs/>
                <w:color w:val="FFFFFF"/>
                <w:sz w:val="19"/>
                <w:szCs w:val="19"/>
              </w:rPr>
              <w:t xml:space="preserve">Stage</w:t>
            </w:r>
          </w:p>
        </w:tc>
        <w:tc>
          <w:tcPr>
            <w:tcW w:type="dxa" w:w="3400"/>
            <w:shd w:fill="1F4E5F" w:val="clear"/>
            <w:tcMar>
              <w:top w:type="dxa" w:w="60"/>
              <w:left w:type="dxa" w:w="90"/>
              <w:bottom w:type="dxa" w:w="60"/>
              <w:right w:type="dxa" w:w="90"/>
            </w:tcMar>
          </w:tcPr>
          <w:p>
            <w:r>
              <w:rPr>
                <w:b/>
                <w:bCs/>
                <w:color w:val="FFFFFF"/>
                <w:sz w:val="19"/>
                <w:szCs w:val="19"/>
              </w:rPr>
              <w:t xml:space="preserve">What should happen</w:t>
            </w:r>
          </w:p>
        </w:tc>
        <w:tc>
          <w:tcPr>
            <w:tcW w:type="dxa" w:w="4300"/>
            <w:shd w:fill="1F4E5F" w:val="clear"/>
            <w:tcMar>
              <w:top w:type="dxa" w:w="60"/>
              <w:left w:type="dxa" w:w="90"/>
              <w:bottom w:type="dxa" w:w="60"/>
              <w:right w:type="dxa" w:w="90"/>
            </w:tcMar>
          </w:tcPr>
          <w:p>
            <w:r>
              <w:rPr>
                <w:b/>
                <w:bCs/>
                <w:color w:val="FFFFFF"/>
                <w:sz w:val="19"/>
                <w:szCs w:val="19"/>
              </w:rPr>
              <w:t xml:space="preserve">Where it breaks today</w:t>
            </w:r>
          </w:p>
        </w:tc>
      </w:tr>
      <w:tr>
        <w:tc>
          <w:tcPr>
            <w:tcW w:type="dxa" w:w="1500"/>
            <w:shd w:fill="FFFFFF" w:val="clear"/>
            <w:tcMar>
              <w:top w:type="dxa" w:w="55"/>
              <w:left w:type="dxa" w:w="90"/>
              <w:bottom w:type="dxa" w:w="55"/>
              <w:right w:type="dxa" w:w="90"/>
            </w:tcMar>
          </w:tcPr>
          <w:p>
            <w:pPr>
              <w:spacing w:after="20" w:line="250"/>
            </w:pPr>
            <w:r>
              <w:rPr>
                <w:sz w:val="18"/>
                <w:szCs w:val="18"/>
              </w:rPr>
              <w:t xml:space="preserve">Awareness</w:t>
            </w:r>
          </w:p>
        </w:tc>
        <w:tc>
          <w:tcPr>
            <w:tcW w:type="dxa" w:w="3400"/>
            <w:shd w:fill="FFFFFF" w:val="clear"/>
            <w:tcMar>
              <w:top w:type="dxa" w:w="55"/>
              <w:left w:type="dxa" w:w="90"/>
              <w:bottom w:type="dxa" w:w="55"/>
              <w:right w:type="dxa" w:w="90"/>
            </w:tcMar>
          </w:tcPr>
          <w:p>
            <w:pPr>
              <w:spacing w:after="20" w:line="250"/>
            </w:pPr>
            <w:r>
              <w:rPr>
                <w:sz w:val="18"/>
                <w:szCs w:val="18"/>
              </w:rPr>
              <w:t xml:space="preserve">Know a license is needed</w:t>
            </w:r>
          </w:p>
        </w:tc>
        <w:tc>
          <w:tcPr>
            <w:tcW w:type="dxa" w:w="4300"/>
            <w:shd w:fill="FFFFFF" w:val="clear"/>
            <w:tcMar>
              <w:top w:type="dxa" w:w="55"/>
              <w:left w:type="dxa" w:w="90"/>
              <w:bottom w:type="dxa" w:w="55"/>
              <w:right w:type="dxa" w:w="90"/>
            </w:tcMar>
          </w:tcPr>
          <w:p>
            <w:pPr>
              <w:spacing w:after="20" w:line="250"/>
            </w:pPr>
            <w:r>
              <w:rPr>
                <w:sz w:val="18"/>
                <w:szCs w:val="18"/>
              </w:rPr>
              <w:t xml:space="preserve">P1 may not know at all; often triggered late by a customer or platform</w:t>
            </w:r>
          </w:p>
        </w:tc>
      </w:tr>
      <w:tr>
        <w:tc>
          <w:tcPr>
            <w:tcW w:type="dxa" w:w="1500"/>
            <w:shd w:fill="F5F8F9" w:val="clear"/>
            <w:tcMar>
              <w:top w:type="dxa" w:w="55"/>
              <w:left w:type="dxa" w:w="90"/>
              <w:bottom w:type="dxa" w:w="55"/>
              <w:right w:type="dxa" w:w="90"/>
            </w:tcMar>
          </w:tcPr>
          <w:p>
            <w:pPr>
              <w:spacing w:after="20" w:line="250"/>
            </w:pPr>
            <w:r>
              <w:rPr>
                <w:sz w:val="18"/>
                <w:szCs w:val="18"/>
              </w:rPr>
              <w:t xml:space="preserve">Discovery</w:t>
            </w:r>
          </w:p>
        </w:tc>
        <w:tc>
          <w:tcPr>
            <w:tcW w:type="dxa" w:w="3400"/>
            <w:shd w:fill="F5F8F9" w:val="clear"/>
            <w:tcMar>
              <w:top w:type="dxa" w:w="55"/>
              <w:left w:type="dxa" w:w="90"/>
              <w:bottom w:type="dxa" w:w="55"/>
              <w:right w:type="dxa" w:w="90"/>
            </w:tcMar>
          </w:tcPr>
          <w:p>
            <w:pPr>
              <w:spacing w:after="20" w:line="250"/>
            </w:pPr>
            <w:r>
              <w:rPr>
                <w:sz w:val="18"/>
                <w:szCs w:val="18"/>
              </w:rPr>
              <w:t xml:space="preserve">Know which licenses apply to me</w:t>
            </w:r>
          </w:p>
        </w:tc>
        <w:tc>
          <w:tcPr>
            <w:tcW w:type="dxa" w:w="4300"/>
            <w:shd w:fill="F5F8F9" w:val="clear"/>
            <w:tcMar>
              <w:top w:type="dxa" w:w="55"/>
              <w:left w:type="dxa" w:w="90"/>
              <w:bottom w:type="dxa" w:w="55"/>
              <w:right w:type="dxa" w:w="90"/>
            </w:tcMar>
          </w:tcPr>
          <w:p>
            <w:pPr>
              <w:spacing w:after="20" w:line="250"/>
            </w:pPr>
            <w:r>
              <w:rPr>
                <w:sz w:val="18"/>
                <w:szCs w:val="18"/>
              </w:rPr>
              <w:t xml:space="preserve">No single trustworthy, personalized source; conflicting web/agent info</w:t>
            </w:r>
          </w:p>
        </w:tc>
      </w:tr>
      <w:tr>
        <w:tc>
          <w:tcPr>
            <w:tcW w:type="dxa" w:w="1500"/>
            <w:shd w:fill="FFFFFF" w:val="clear"/>
            <w:tcMar>
              <w:top w:type="dxa" w:w="55"/>
              <w:left w:type="dxa" w:w="90"/>
              <w:bottom w:type="dxa" w:w="55"/>
              <w:right w:type="dxa" w:w="90"/>
            </w:tcMar>
          </w:tcPr>
          <w:p>
            <w:pPr>
              <w:spacing w:after="20" w:line="250"/>
            </w:pPr>
            <w:r>
              <w:rPr>
                <w:sz w:val="18"/>
                <w:szCs w:val="18"/>
              </w:rPr>
              <w:t xml:space="preserve">Sequencing</w:t>
            </w:r>
          </w:p>
        </w:tc>
        <w:tc>
          <w:tcPr>
            <w:tcW w:type="dxa" w:w="3400"/>
            <w:shd w:fill="FFFFFF" w:val="clear"/>
            <w:tcMar>
              <w:top w:type="dxa" w:w="55"/>
              <w:left w:type="dxa" w:w="90"/>
              <w:bottom w:type="dxa" w:w="55"/>
              <w:right w:type="dxa" w:w="90"/>
            </w:tcMar>
          </w:tcPr>
          <w:p>
            <w:pPr>
              <w:spacing w:after="20" w:line="250"/>
            </w:pPr>
            <w:r>
              <w:rPr>
                <w:sz w:val="18"/>
                <w:szCs w:val="18"/>
              </w:rPr>
              <w:t xml:space="preserve">Know the right order</w:t>
            </w:r>
          </w:p>
        </w:tc>
        <w:tc>
          <w:tcPr>
            <w:tcW w:type="dxa" w:w="4300"/>
            <w:shd w:fill="FFFFFF" w:val="clear"/>
            <w:tcMar>
              <w:top w:type="dxa" w:w="55"/>
              <w:left w:type="dxa" w:w="90"/>
              <w:bottom w:type="dxa" w:w="55"/>
              <w:right w:type="dxa" w:w="90"/>
            </w:tcMar>
          </w:tcPr>
          <w:p>
            <w:pPr>
              <w:spacing w:after="20" w:line="250"/>
            </w:pPr>
            <w:r>
              <w:rPr>
                <w:sz w:val="18"/>
                <w:szCs w:val="18"/>
              </w:rPr>
              <w:t xml:space="preserve">Dependencies unclear (e.g. some permits require others first)</w:t>
            </w:r>
          </w:p>
        </w:tc>
      </w:tr>
      <w:tr>
        <w:tc>
          <w:tcPr>
            <w:tcW w:type="dxa" w:w="1500"/>
            <w:shd w:fill="F5F8F9" w:val="clear"/>
            <w:tcMar>
              <w:top w:type="dxa" w:w="55"/>
              <w:left w:type="dxa" w:w="90"/>
              <w:bottom w:type="dxa" w:w="55"/>
              <w:right w:type="dxa" w:w="90"/>
            </w:tcMar>
          </w:tcPr>
          <w:p>
            <w:pPr>
              <w:spacing w:after="20" w:line="250"/>
            </w:pPr>
            <w:r>
              <w:rPr>
                <w:sz w:val="18"/>
                <w:szCs w:val="18"/>
              </w:rPr>
              <w:t xml:space="preserve">Requirements</w:t>
            </w:r>
          </w:p>
        </w:tc>
        <w:tc>
          <w:tcPr>
            <w:tcW w:type="dxa" w:w="3400"/>
            <w:shd w:fill="F5F8F9" w:val="clear"/>
            <w:tcMar>
              <w:top w:type="dxa" w:w="55"/>
              <w:left w:type="dxa" w:w="90"/>
              <w:bottom w:type="dxa" w:w="55"/>
              <w:right w:type="dxa" w:w="90"/>
            </w:tcMar>
          </w:tcPr>
          <w:p>
            <w:pPr>
              <w:spacing w:after="20" w:line="250"/>
            </w:pPr>
            <w:r>
              <w:rPr>
                <w:sz w:val="18"/>
                <w:szCs w:val="18"/>
              </w:rPr>
              <w:t xml:space="preserve">Know docs, fees, eligibility tier</w:t>
            </w:r>
          </w:p>
        </w:tc>
        <w:tc>
          <w:tcPr>
            <w:tcW w:type="dxa" w:w="4300"/>
            <w:shd w:fill="F5F8F9" w:val="clear"/>
            <w:tcMar>
              <w:top w:type="dxa" w:w="55"/>
              <w:left w:type="dxa" w:w="90"/>
              <w:bottom w:type="dxa" w:w="55"/>
              <w:right w:type="dxa" w:w="90"/>
            </w:tcMar>
          </w:tcPr>
          <w:p>
            <w:pPr>
              <w:spacing w:after="20" w:line="250"/>
            </w:pPr>
            <w:r>
              <w:rPr>
                <w:sz w:val="18"/>
                <w:szCs w:val="18"/>
              </w:rPr>
              <w:t xml:space="preserve">Turnover thresholds and tiers confuse; document lists vary by city</w:t>
            </w:r>
          </w:p>
        </w:tc>
      </w:tr>
      <w:tr>
        <w:tc>
          <w:tcPr>
            <w:tcW w:type="dxa" w:w="1500"/>
            <w:shd w:fill="FFFFFF" w:val="clear"/>
            <w:tcMar>
              <w:top w:type="dxa" w:w="55"/>
              <w:left w:type="dxa" w:w="90"/>
              <w:bottom w:type="dxa" w:w="55"/>
              <w:right w:type="dxa" w:w="90"/>
            </w:tcMar>
          </w:tcPr>
          <w:p>
            <w:pPr>
              <w:spacing w:after="20" w:line="250"/>
            </w:pPr>
            <w:r>
              <w:rPr>
                <w:sz w:val="18"/>
                <w:szCs w:val="18"/>
              </w:rPr>
              <w:t xml:space="preserve">Application</w:t>
            </w:r>
          </w:p>
        </w:tc>
        <w:tc>
          <w:tcPr>
            <w:tcW w:type="dxa" w:w="3400"/>
            <w:shd w:fill="FFFFFF" w:val="clear"/>
            <w:tcMar>
              <w:top w:type="dxa" w:w="55"/>
              <w:left w:type="dxa" w:w="90"/>
              <w:bottom w:type="dxa" w:w="55"/>
              <w:right w:type="dxa" w:w="90"/>
            </w:tcMar>
          </w:tcPr>
          <w:p>
            <w:pPr>
              <w:spacing w:after="20" w:line="250"/>
            </w:pPr>
            <w:r>
              <w:rPr>
                <w:sz w:val="18"/>
                <w:szCs w:val="18"/>
              </w:rPr>
              <w:t xml:space="preserve">Apply on the right portals</w:t>
            </w:r>
          </w:p>
        </w:tc>
        <w:tc>
          <w:tcPr>
            <w:tcW w:type="dxa" w:w="4300"/>
            <w:shd w:fill="FFFFFF" w:val="clear"/>
            <w:tcMar>
              <w:top w:type="dxa" w:w="55"/>
              <w:left w:type="dxa" w:w="90"/>
              <w:bottom w:type="dxa" w:w="55"/>
              <w:right w:type="dxa" w:w="90"/>
            </w:tcMar>
          </w:tcPr>
          <w:p>
            <w:pPr>
              <w:spacing w:after="20" w:line="250"/>
            </w:pPr>
            <w:r>
              <w:rPr>
                <w:sz w:val="18"/>
                <w:szCs w:val="18"/>
              </w:rPr>
              <w:t xml:space="preserve">Fragmented across departments; fear of rejection pushes people to agents</w:t>
            </w:r>
          </w:p>
        </w:tc>
      </w:tr>
      <w:tr>
        <w:tc>
          <w:tcPr>
            <w:tcW w:type="dxa" w:w="1500"/>
            <w:shd w:fill="F5F8F9" w:val="clear"/>
            <w:tcMar>
              <w:top w:type="dxa" w:w="55"/>
              <w:left w:type="dxa" w:w="90"/>
              <w:bottom w:type="dxa" w:w="55"/>
              <w:right w:type="dxa" w:w="90"/>
            </w:tcMar>
          </w:tcPr>
          <w:p>
            <w:pPr>
              <w:spacing w:after="20" w:line="250"/>
            </w:pPr>
            <w:r>
              <w:rPr>
                <w:sz w:val="18"/>
                <w:szCs w:val="18"/>
              </w:rPr>
              <w:t xml:space="preserve">Status/next</w:t>
            </w:r>
          </w:p>
        </w:tc>
        <w:tc>
          <w:tcPr>
            <w:tcW w:type="dxa" w:w="3400"/>
            <w:shd w:fill="F5F8F9" w:val="clear"/>
            <w:tcMar>
              <w:top w:type="dxa" w:w="55"/>
              <w:left w:type="dxa" w:w="90"/>
              <w:bottom w:type="dxa" w:w="55"/>
              <w:right w:type="dxa" w:w="90"/>
            </w:tcMar>
          </w:tcPr>
          <w:p>
            <w:pPr>
              <w:spacing w:after="20" w:line="250"/>
            </w:pPr>
            <w:r>
              <w:rPr>
                <w:sz w:val="18"/>
                <w:szCs w:val="18"/>
              </w:rPr>
              <w:t xml:space="preserve">Know what's pending</w:t>
            </w:r>
          </w:p>
        </w:tc>
        <w:tc>
          <w:tcPr>
            <w:tcW w:type="dxa" w:w="4300"/>
            <w:shd w:fill="F5F8F9" w:val="clear"/>
            <w:tcMar>
              <w:top w:type="dxa" w:w="55"/>
              <w:left w:type="dxa" w:w="90"/>
              <w:bottom w:type="dxa" w:w="55"/>
              <w:right w:type="dxa" w:w="90"/>
            </w:tcMar>
          </w:tcPr>
          <w:p>
            <w:pPr>
              <w:spacing w:after="20" w:line="250"/>
            </w:pPr>
            <w:r>
              <w:rPr>
                <w:sz w:val="18"/>
                <w:szCs w:val="18"/>
              </w:rPr>
              <w:t xml:space="preserve">Little visibility, especially when an agent is in the middle</w:t>
            </w:r>
          </w:p>
        </w:tc>
      </w:tr>
    </w:tbl>
    <w:p>
      <w:pPr>
        <w:pStyle w:val="Heading2"/>
        <w:spacing w:after="90" w:before="220"/>
      </w:pPr>
      <w:r>
        <w:rPr>
          <w:b/>
          <w:bCs/>
          <w:color w:val="2E7D8A"/>
          <w:sz w:val="24"/>
          <w:szCs w:val="24"/>
        </w:rPr>
        <w:t xml:space="preserve">6.2  Five recurring pain themes (candidate core problems)</w:t>
      </w:r>
    </w:p>
    <w:p>
      <w:pPr>
        <w:pStyle w:val="ListParagraph"/>
        <w:numPr>
          <w:ilvl w:val="0"/>
          <w:numId w:val="3"/>
        </w:numPr>
        <w:spacing w:after="66" w:line="272"/>
      </w:pPr>
      <w:r>
        <w:rPr>
          <w:b/>
          <w:bCs/>
          <w:sz w:val="21"/>
          <w:szCs w:val="21"/>
        </w:rPr>
        <w:t xml:space="preserve">“Which one,” not “whether.” </w:t>
      </w:r>
      <w:r>
        <w:rPr>
          <w:sz w:val="21"/>
          <w:szCs w:val="21"/>
        </w:rPr>
        <w:t xml:space="preserve">The dominant gap is personalized discovery — telling someone exactly which licenses their specific business + location + scale needs. This is the sharpest, most feasible problem to own.</w:t>
      </w:r>
    </w:p>
    <w:p>
      <w:pPr>
        <w:pStyle w:val="ListParagraph"/>
        <w:numPr>
          <w:ilvl w:val="0"/>
          <w:numId w:val="3"/>
        </w:numPr>
        <w:spacing w:after="66" w:line="272"/>
      </w:pPr>
      <w:r>
        <w:rPr>
          <w:b/>
          <w:bCs/>
          <w:sz w:val="21"/>
          <w:szCs w:val="21"/>
        </w:rPr>
        <w:t xml:space="preserve">Overwhelm from sheer count. </w:t>
      </w:r>
      <w:r>
        <w:rPr>
          <w:sz w:val="21"/>
          <w:szCs w:val="21"/>
        </w:rPr>
        <w:t xml:space="preserve">A restaurant is commonly cited as needing ~12 licenses; one industry-attributed figure puts it at 15–25 licenses/NOCs. “Overwhelming” recurs across sources.</w:t>
      </w:r>
    </w:p>
    <w:p>
      <w:pPr>
        <w:pStyle w:val="ListParagraph"/>
        <w:numPr>
          <w:ilvl w:val="0"/>
          <w:numId w:val="3"/>
        </w:numPr>
        <w:spacing w:after="66" w:line="272"/>
      </w:pPr>
      <w:r>
        <w:rPr>
          <w:b/>
          <w:bCs/>
          <w:sz w:val="21"/>
          <w:szCs w:val="21"/>
        </w:rPr>
        <w:t xml:space="preserve">Sequencing &amp; dependencies. </w:t>
      </w:r>
      <w:r>
        <w:rPr>
          <w:sz w:val="21"/>
          <w:szCs w:val="21"/>
        </w:rPr>
        <w:t xml:space="preserve">Even people who know the list don't know the order; sources frame FSSAI as a prerequisite for other permits.</w:t>
      </w:r>
    </w:p>
    <w:p>
      <w:pPr>
        <w:pStyle w:val="ListParagraph"/>
        <w:numPr>
          <w:ilvl w:val="0"/>
          <w:numId w:val="3"/>
        </w:numPr>
        <w:spacing w:after="66" w:line="272"/>
      </w:pPr>
      <w:r>
        <w:rPr>
          <w:b/>
          <w:bCs/>
          <w:sz w:val="21"/>
          <w:szCs w:val="21"/>
        </w:rPr>
        <w:t xml:space="preserve">City-level fragmentation. </w:t>
      </w:r>
      <w:r>
        <w:rPr>
          <w:sz w:val="21"/>
          <w:szCs w:val="21"/>
        </w:rPr>
        <w:t xml:space="preserve">The same license behaves differently by city (e.g. eating-house/trade license is police-issued in Delhi &amp; Mumbai but municipal elsewhere; timelines vary by city).</w:t>
      </w:r>
    </w:p>
    <w:p>
      <w:pPr>
        <w:pStyle w:val="ListParagraph"/>
        <w:numPr>
          <w:ilvl w:val="0"/>
          <w:numId w:val="3"/>
        </w:numPr>
        <w:spacing w:after="66" w:line="272"/>
      </w:pPr>
      <w:r>
        <w:rPr>
          <w:b/>
          <w:bCs/>
          <w:sz w:val="21"/>
          <w:szCs w:val="21"/>
        </w:rPr>
        <w:t xml:space="preserve">Opaque cost &amp; trust. </w:t>
      </w:r>
      <w:r>
        <w:rPr>
          <w:sz w:val="21"/>
          <w:szCs w:val="21"/>
        </w:rPr>
        <w:t xml:space="preserve">Hard to know the real government fee vs. what an agent charges; the markup and lack of transparency drive both overpayment and distrust.</w:t>
      </w:r>
    </w:p>
    <w:p>
      <w:pPr>
        <w:pStyle w:val="Heading1"/>
        <w:spacing w:after="130" w:before="340"/>
      </w:pPr>
      <w:r>
        <w:rPr>
          <w:b/>
          <w:bCs/>
          <w:color w:val="1F4E5F"/>
          <w:sz w:val="28"/>
          <w:szCs w:val="28"/>
        </w:rPr>
        <w:t xml:space="preserve">7.  Evidence base (secondary research)</w:t>
      </w:r>
    </w:p>
    <w:p>
      <w:pPr>
        <w:spacing w:after="110" w:line="278"/>
      </w:pPr>
      <w:r>
        <w:rPr>
          <w:sz w:val="21"/>
          <w:szCs w:val="21"/>
        </w:rPr>
        <w:t xml:space="preserve">Key findings supporting the problem, drawn from public sources (full list in References). Because primary interviews were not conducted, each finding is presented with its nature so the reader can weigh it.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400"/>
        <w:gridCol w:w="3800"/>
      </w:tblGrid>
      <w:tr>
        <w:trPr>
          <w:tblHeader/>
        </w:trPr>
        <w:tc>
          <w:tcPr>
            <w:tcW w:type="dxa" w:w="5400"/>
            <w:shd w:fill="1F4E5F" w:val="clear"/>
            <w:tcMar>
              <w:top w:type="dxa" w:w="60"/>
              <w:left w:type="dxa" w:w="90"/>
              <w:bottom w:type="dxa" w:w="60"/>
              <w:right w:type="dxa" w:w="90"/>
            </w:tcMar>
          </w:tcPr>
          <w:p>
            <w:r>
              <w:rPr>
                <w:b/>
                <w:bCs/>
                <w:color w:val="FFFFFF"/>
                <w:sz w:val="19"/>
                <w:szCs w:val="19"/>
              </w:rPr>
              <w:t xml:space="preserve">Finding</w:t>
            </w:r>
          </w:p>
        </w:tc>
        <w:tc>
          <w:tcPr>
            <w:tcW w:type="dxa" w:w="3800"/>
            <w:shd w:fill="1F4E5F" w:val="clear"/>
            <w:tcMar>
              <w:top w:type="dxa" w:w="60"/>
              <w:left w:type="dxa" w:w="90"/>
              <w:bottom w:type="dxa" w:w="60"/>
              <w:right w:type="dxa" w:w="90"/>
            </w:tcMar>
          </w:tcPr>
          <w:p>
            <w:r>
              <w:rPr>
                <w:b/>
                <w:bCs/>
                <w:color w:val="FFFFFF"/>
                <w:sz w:val="19"/>
                <w:szCs w:val="19"/>
              </w:rPr>
              <w:t xml:space="preserve">Signal strength / caveat</w:t>
            </w:r>
          </w:p>
        </w:tc>
      </w:tr>
      <w:tr>
        <w:tc>
          <w:tcPr>
            <w:tcW w:type="dxa" w:w="5400"/>
            <w:shd w:fill="FFFFFF" w:val="clear"/>
            <w:tcMar>
              <w:top w:type="dxa" w:w="55"/>
              <w:left w:type="dxa" w:w="90"/>
              <w:bottom w:type="dxa" w:w="55"/>
              <w:right w:type="dxa" w:w="90"/>
            </w:tcMar>
          </w:tcPr>
          <w:p>
            <w:pPr>
              <w:spacing w:after="20" w:line="250"/>
            </w:pPr>
            <w:r>
              <w:rPr>
                <w:sz w:val="18"/>
                <w:szCs w:val="18"/>
              </w:rPr>
              <w:t xml:space="preserve">People's real hesitation is which license tier applies, not whether one is needed</w:t>
            </w:r>
          </w:p>
        </w:tc>
        <w:tc>
          <w:tcPr>
            <w:tcW w:type="dxa" w:w="3800"/>
            <w:shd w:fill="FFFFFF" w:val="clear"/>
            <w:tcMar>
              <w:top w:type="dxa" w:w="55"/>
              <w:left w:type="dxa" w:w="90"/>
              <w:bottom w:type="dxa" w:w="55"/>
              <w:right w:type="dxa" w:w="90"/>
            </w:tcMar>
          </w:tcPr>
          <w:p>
            <w:pPr>
              <w:spacing w:after="20" w:line="250"/>
            </w:pPr>
            <w:r>
              <w:rPr>
                <w:sz w:val="18"/>
                <w:szCs w:val="18"/>
              </w:rPr>
              <w:t xml:space="preserve">Recurs across multiple guidance sources — strong directional signal</w:t>
            </w:r>
          </w:p>
        </w:tc>
      </w:tr>
      <w:tr>
        <w:tc>
          <w:tcPr>
            <w:tcW w:type="dxa" w:w="5400"/>
            <w:shd w:fill="F5F8F9" w:val="clear"/>
            <w:tcMar>
              <w:top w:type="dxa" w:w="55"/>
              <w:left w:type="dxa" w:w="90"/>
              <w:bottom w:type="dxa" w:w="55"/>
              <w:right w:type="dxa" w:w="90"/>
            </w:tcMar>
          </w:tcPr>
          <w:p>
            <w:pPr>
              <w:spacing w:after="20" w:line="250"/>
            </w:pPr>
            <w:r>
              <w:rPr>
                <w:sz w:val="18"/>
                <w:szCs w:val="18"/>
              </w:rPr>
              <w:t xml:space="preserve">FSSAI registration described as a source of anxiety home sellers deflect or don't know how to answer</w:t>
            </w:r>
          </w:p>
        </w:tc>
        <w:tc>
          <w:tcPr>
            <w:tcW w:type="dxa" w:w="3800"/>
            <w:shd w:fill="F5F8F9" w:val="clear"/>
            <w:tcMar>
              <w:top w:type="dxa" w:w="55"/>
              <w:left w:type="dxa" w:w="90"/>
              <w:bottom w:type="dxa" w:w="55"/>
              <w:right w:type="dxa" w:w="90"/>
            </w:tcMar>
          </w:tcPr>
          <w:p>
            <w:pPr>
              <w:spacing w:after="20" w:line="250"/>
            </w:pPr>
            <w:r>
              <w:rPr>
                <w:sz w:val="18"/>
                <w:szCs w:val="18"/>
              </w:rPr>
              <w:t xml:space="preserve">Consistent framing across home-baker sources; qualitative</w:t>
            </w:r>
          </w:p>
        </w:tc>
      </w:tr>
      <w:tr>
        <w:tc>
          <w:tcPr>
            <w:tcW w:type="dxa" w:w="5400"/>
            <w:shd w:fill="FFFFFF" w:val="clear"/>
            <w:tcMar>
              <w:top w:type="dxa" w:w="55"/>
              <w:left w:type="dxa" w:w="90"/>
              <w:bottom w:type="dxa" w:w="55"/>
              <w:right w:type="dxa" w:w="90"/>
            </w:tcMar>
          </w:tcPr>
          <w:p>
            <w:pPr>
              <w:spacing w:after="20" w:line="250"/>
            </w:pPr>
            <w:r>
              <w:rPr>
                <w:sz w:val="18"/>
                <w:szCs w:val="18"/>
              </w:rPr>
              <w:t xml:space="preserve">Delivery platforms (Swiggy/Zomato) and marketplaces won't onboard sellers without FSSAI</w:t>
            </w:r>
          </w:p>
        </w:tc>
        <w:tc>
          <w:tcPr>
            <w:tcW w:type="dxa" w:w="3800"/>
            <w:shd w:fill="FFFFFF" w:val="clear"/>
            <w:tcMar>
              <w:top w:type="dxa" w:w="55"/>
              <w:left w:type="dxa" w:w="90"/>
              <w:bottom w:type="dxa" w:w="55"/>
              <w:right w:type="dxa" w:w="90"/>
            </w:tcMar>
          </w:tcPr>
          <w:p>
            <w:pPr>
              <w:spacing w:after="20" w:line="250"/>
            </w:pPr>
            <w:r>
              <w:rPr>
                <w:sz w:val="18"/>
                <w:szCs w:val="18"/>
              </w:rPr>
              <w:t xml:space="preserve">Stated consistently — strong; confirms P3 reactive trigger</w:t>
            </w:r>
          </w:p>
        </w:tc>
      </w:tr>
      <w:tr>
        <w:tc>
          <w:tcPr>
            <w:tcW w:type="dxa" w:w="5400"/>
            <w:shd w:fill="F5F8F9" w:val="clear"/>
            <w:tcMar>
              <w:top w:type="dxa" w:w="55"/>
              <w:left w:type="dxa" w:w="90"/>
              <w:bottom w:type="dxa" w:w="55"/>
              <w:right w:type="dxa" w:w="90"/>
            </w:tcMar>
          </w:tcPr>
          <w:p>
            <w:pPr>
              <w:spacing w:after="20" w:line="250"/>
            </w:pPr>
            <w:r>
              <w:rPr>
                <w:sz w:val="18"/>
                <w:szCs w:val="18"/>
              </w:rPr>
              <w:t xml:space="preserve">A restaurant needs ~12 licenses; one source cites 15–25 licenses/NOCs (attributed to NRAI)</w:t>
            </w:r>
          </w:p>
        </w:tc>
        <w:tc>
          <w:tcPr>
            <w:tcW w:type="dxa" w:w="3800"/>
            <w:shd w:fill="F5F8F9" w:val="clear"/>
            <w:tcMar>
              <w:top w:type="dxa" w:w="55"/>
              <w:left w:type="dxa" w:w="90"/>
              <w:bottom w:type="dxa" w:w="55"/>
              <w:right w:type="dxa" w:w="90"/>
            </w:tcMar>
          </w:tcPr>
          <w:p>
            <w:pPr>
              <w:spacing w:after="20" w:line="250"/>
            </w:pPr>
            <w:r>
              <w:rPr>
                <w:sz w:val="18"/>
                <w:szCs w:val="18"/>
              </w:rPr>
              <w:t xml:space="preserve">12 is widely repeated; 15–25 is second-hand — verify before external use</w:t>
            </w:r>
          </w:p>
        </w:tc>
      </w:tr>
      <w:tr>
        <w:tc>
          <w:tcPr>
            <w:tcW w:type="dxa" w:w="5400"/>
            <w:shd w:fill="FFFFFF" w:val="clear"/>
            <w:tcMar>
              <w:top w:type="dxa" w:w="55"/>
              <w:left w:type="dxa" w:w="90"/>
              <w:bottom w:type="dxa" w:w="55"/>
              <w:right w:type="dxa" w:w="90"/>
            </w:tcMar>
          </w:tcPr>
          <w:p>
            <w:pPr>
              <w:spacing w:after="20" w:line="250"/>
            </w:pPr>
            <w:r>
              <w:rPr>
                <w:sz w:val="18"/>
                <w:szCs w:val="18"/>
              </w:rPr>
              <w:t xml:space="preserve">Government FSSAI basic fee ₹100/yr vs agent rates ~₹999–₹6,000</w:t>
            </w:r>
          </w:p>
        </w:tc>
        <w:tc>
          <w:tcPr>
            <w:tcW w:type="dxa" w:w="3800"/>
            <w:shd w:fill="FFFFFF" w:val="clear"/>
            <w:tcMar>
              <w:top w:type="dxa" w:w="55"/>
              <w:left w:type="dxa" w:w="90"/>
              <w:bottom w:type="dxa" w:w="55"/>
              <w:right w:type="dxa" w:w="90"/>
            </w:tcMar>
          </w:tcPr>
          <w:p>
            <w:pPr>
              <w:spacing w:after="20" w:line="250"/>
            </w:pPr>
            <w:r>
              <w:rPr>
                <w:sz w:val="18"/>
                <w:szCs w:val="18"/>
              </w:rPr>
              <w:t xml:space="preserve">Fee is primary-verifiable; agent rates from listing pages — directional</w:t>
            </w:r>
          </w:p>
        </w:tc>
      </w:tr>
      <w:tr>
        <w:tc>
          <w:tcPr>
            <w:tcW w:type="dxa" w:w="5400"/>
            <w:shd w:fill="F5F8F9" w:val="clear"/>
            <w:tcMar>
              <w:top w:type="dxa" w:w="55"/>
              <w:left w:type="dxa" w:w="90"/>
              <w:bottom w:type="dxa" w:w="55"/>
              <w:right w:type="dxa" w:w="90"/>
            </w:tcMar>
          </w:tcPr>
          <w:p>
            <w:pPr>
              <w:spacing w:after="20" w:line="250"/>
            </w:pPr>
            <w:r>
              <w:rPr>
                <w:sz w:val="18"/>
                <w:szCs w:val="18"/>
              </w:rPr>
              <w:t xml:space="preserve">Penalties up to ₹5 lakh and possible imprisonment for operating without FSSAI</w:t>
            </w:r>
          </w:p>
        </w:tc>
        <w:tc>
          <w:tcPr>
            <w:tcW w:type="dxa" w:w="3800"/>
            <w:shd w:fill="F5F8F9" w:val="clear"/>
            <w:tcMar>
              <w:top w:type="dxa" w:w="55"/>
              <w:left w:type="dxa" w:w="90"/>
              <w:bottom w:type="dxa" w:w="55"/>
              <w:right w:type="dxa" w:w="90"/>
            </w:tcMar>
          </w:tcPr>
          <w:p>
            <w:pPr>
              <w:spacing w:after="20" w:line="250"/>
            </w:pPr>
            <w:r>
              <w:rPr>
                <w:sz w:val="18"/>
                <w:szCs w:val="18"/>
              </w:rPr>
              <w:t xml:space="preserve">Cited across sources; re-verify against the FSS Act text</w:t>
            </w:r>
          </w:p>
        </w:tc>
      </w:tr>
      <w:tr>
        <w:tc>
          <w:tcPr>
            <w:tcW w:type="dxa" w:w="5400"/>
            <w:shd w:fill="FFFFFF" w:val="clear"/>
            <w:tcMar>
              <w:top w:type="dxa" w:w="55"/>
              <w:left w:type="dxa" w:w="90"/>
              <w:bottom w:type="dxa" w:w="55"/>
              <w:right w:type="dxa" w:w="90"/>
            </w:tcMar>
          </w:tcPr>
          <w:p>
            <w:pPr>
              <w:spacing w:after="20" w:line="250"/>
            </w:pPr>
            <w:r>
              <w:rPr>
                <w:sz w:val="18"/>
                <w:szCs w:val="18"/>
              </w:rPr>
              <w:t xml:space="preserve">License process and timelines vary significantly by city</w:t>
            </w:r>
          </w:p>
        </w:tc>
        <w:tc>
          <w:tcPr>
            <w:tcW w:type="dxa" w:w="3800"/>
            <w:shd w:fill="FFFFFF" w:val="clear"/>
            <w:tcMar>
              <w:top w:type="dxa" w:w="55"/>
              <w:left w:type="dxa" w:w="90"/>
              <w:bottom w:type="dxa" w:w="55"/>
              <w:right w:type="dxa" w:w="90"/>
            </w:tcMar>
          </w:tcPr>
          <w:p>
            <w:pPr>
              <w:spacing w:after="20" w:line="250"/>
            </w:pPr>
            <w:r>
              <w:rPr>
                <w:sz w:val="18"/>
                <w:szCs w:val="18"/>
              </w:rPr>
              <w:t xml:space="preserve">Consistent — strong basis for scoping MVP to one city</w:t>
            </w:r>
          </w:p>
        </w:tc>
      </w:tr>
      <w:tr>
        <w:tc>
          <w:tcPr>
            <w:tcW w:type="dxa" w:w="5400"/>
            <w:shd w:fill="F5F8F9" w:val="clear"/>
            <w:tcMar>
              <w:top w:type="dxa" w:w="55"/>
              <w:left w:type="dxa" w:w="90"/>
              <w:bottom w:type="dxa" w:w="55"/>
              <w:right w:type="dxa" w:w="90"/>
            </w:tcMar>
          </w:tcPr>
          <w:p>
            <w:pPr>
              <w:spacing w:after="20" w:line="250"/>
            </w:pPr>
            <w:r>
              <w:rPr>
                <w:sz w:val="18"/>
                <w:szCs w:val="18"/>
              </w:rPr>
              <w:t xml:space="preserve">Older red-tape data (e.g. survey: 78% found no. of windows unreasonable; World Bank 14 procedures/26 days)</w:t>
            </w:r>
          </w:p>
        </w:tc>
        <w:tc>
          <w:tcPr>
            <w:tcW w:type="dxa" w:w="3800"/>
            <w:shd w:fill="F5F8F9" w:val="clear"/>
            <w:tcMar>
              <w:top w:type="dxa" w:w="55"/>
              <w:left w:type="dxa" w:w="90"/>
              <w:bottom w:type="dxa" w:w="55"/>
              <w:right w:type="dxa" w:w="90"/>
            </w:tcMar>
          </w:tcPr>
          <w:p>
            <w:pPr>
              <w:spacing w:after="20" w:line="250"/>
            </w:pPr>
            <w:r>
              <w:rPr>
                <w:sz w:val="18"/>
                <w:szCs w:val="18"/>
              </w:rPr>
              <w:t xml:space="preserve">DATED — survey ~2014; World Bank Doing Business discontinued 2021. Historical color only</w:t>
            </w:r>
          </w:p>
        </w:tc>
      </w:tr>
    </w:tbl>
    <w:p>
      <w:pPr>
        <w:spacing w:after="90" w:line="268"/>
      </w:pPr>
      <w:r>
        <w:rPr>
          <w:i/>
          <w:iCs/>
          <w:color w:val="8A5A00"/>
          <w:sz w:val="19"/>
          <w:szCs w:val="19"/>
        </w:rPr>
        <w:t xml:space="preserve">⚠ Honesty note: forum/review spaces in this niche are dominated by SEO content from licensing agents, so authentic first-person voice is thin online. The evidence is strong on what the pains are, weak on how common each is. Magnitude and willingness-to-pay remain unvalidated (see §9).</w:t>
      </w:r>
    </w:p>
    <w:p>
      <w:pPr>
        <w:pStyle w:val="Heading1"/>
        <w:spacing w:after="130" w:before="340"/>
      </w:pPr>
      <w:r>
        <w:rPr>
          <w:b/>
          <w:bCs/>
          <w:color w:val="1F4E5F"/>
          <w:sz w:val="28"/>
          <w:szCs w:val="28"/>
        </w:rPr>
        <w:t xml:space="preserve">8.  Scope</w:t>
      </w:r>
    </w:p>
    <w:p>
      <w:pPr>
        <w:pStyle w:val="Heading2"/>
        <w:spacing w:after="90" w:before="220"/>
      </w:pPr>
      <w:r>
        <w:rPr>
          <w:b/>
          <w:bCs/>
          <w:color w:val="2E7D8A"/>
          <w:sz w:val="24"/>
          <w:szCs w:val="24"/>
        </w:rPr>
        <w:t xml:space="preserve">In scope (MVP)</w:t>
      </w:r>
    </w:p>
    <w:p>
      <w:pPr>
        <w:pStyle w:val="ListParagraph"/>
        <w:numPr>
          <w:ilvl w:val="0"/>
          <w:numId w:val="2"/>
        </w:numPr>
        <w:spacing w:after="66" w:line="272"/>
      </w:pPr>
      <w:r>
        <w:rPr>
          <w:sz w:val="21"/>
          <w:szCs w:val="21"/>
        </w:rPr>
        <w:t xml:space="preserve">Personalized discovery: input business type + city + scale → output the ordered set of licenses/registrations that apply.</w:t>
      </w:r>
    </w:p>
    <w:p>
      <w:pPr>
        <w:pStyle w:val="ListParagraph"/>
        <w:numPr>
          <w:ilvl w:val="0"/>
          <w:numId w:val="2"/>
        </w:numPr>
        <w:spacing w:after="66" w:line="272"/>
      </w:pPr>
      <w:r>
        <w:rPr>
          <w:sz w:val="21"/>
          <w:szCs w:val="21"/>
        </w:rPr>
        <w:t xml:space="preserve">For each: what it is, documents needed, government fee, rough timeline, and the correct sequence/dependencies.</w:t>
      </w:r>
    </w:p>
    <w:p>
      <w:pPr>
        <w:pStyle w:val="ListParagraph"/>
        <w:numPr>
          <w:ilvl w:val="0"/>
          <w:numId w:val="2"/>
        </w:numPr>
        <w:spacing w:after="66" w:line="272"/>
      </w:pPr>
      <w:r>
        <w:rPr>
          <w:sz w:val="21"/>
          <w:szCs w:val="21"/>
        </w:rPr>
        <w:t xml:space="preserve">One city for accuracy (proposed: Ahmedabad/Gujarat) and a small number of business categories (e.g. home food, small eatery, retail shop).</w:t>
      </w:r>
    </w:p>
    <w:p>
      <w:pPr>
        <w:pStyle w:val="ListParagraph"/>
        <w:numPr>
          <w:ilvl w:val="0"/>
          <w:numId w:val="2"/>
        </w:numPr>
        <w:spacing w:after="66" w:line="272"/>
      </w:pPr>
      <w:r>
        <w:rPr>
          <w:sz w:val="21"/>
          <w:szCs w:val="21"/>
        </w:rPr>
        <w:t xml:space="preserve">Self-serve, guidance-only — pointing users to the correct official portals.</w:t>
      </w:r>
    </w:p>
    <w:p>
      <w:pPr>
        <w:pStyle w:val="Heading2"/>
        <w:spacing w:after="90" w:before="220"/>
      </w:pPr>
      <w:r>
        <w:rPr>
          <w:b/>
          <w:bCs/>
          <w:color w:val="2E7D8A"/>
          <w:sz w:val="24"/>
          <w:szCs w:val="24"/>
        </w:rPr>
        <w:t xml:space="preserve">Out of scope (for this MVP)</w:t>
      </w:r>
    </w:p>
    <w:p>
      <w:pPr>
        <w:pStyle w:val="ListParagraph"/>
        <w:numPr>
          <w:ilvl w:val="0"/>
          <w:numId w:val="2"/>
        </w:numPr>
        <w:spacing w:after="66" w:line="272"/>
      </w:pPr>
      <w:r>
        <w:rPr>
          <w:sz w:val="21"/>
          <w:szCs w:val="21"/>
        </w:rPr>
        <w:t xml:space="preserve">Actually submitting applications, integrating with government backends, or handling payments/fees.</w:t>
      </w:r>
    </w:p>
    <w:p>
      <w:pPr>
        <w:pStyle w:val="ListParagraph"/>
        <w:numPr>
          <w:ilvl w:val="0"/>
          <w:numId w:val="2"/>
        </w:numPr>
        <w:spacing w:after="66" w:line="272"/>
      </w:pPr>
      <w:r>
        <w:rPr>
          <w:sz w:val="21"/>
          <w:szCs w:val="21"/>
        </w:rPr>
        <w:t xml:space="preserve">Personas 4 (informal operators regularizing) and 5 (low-digital-literacy / language-barrier) — real but harder to serve safely in the timeline.</w:t>
      </w:r>
    </w:p>
    <w:p>
      <w:pPr>
        <w:pStyle w:val="ListParagraph"/>
        <w:numPr>
          <w:ilvl w:val="0"/>
          <w:numId w:val="2"/>
        </w:numPr>
        <w:spacing w:after="66" w:line="272"/>
      </w:pPr>
      <w:r>
        <w:rPr>
          <w:sz w:val="21"/>
          <w:szCs w:val="21"/>
        </w:rPr>
        <w:t xml:space="preserve">Nationwide coverage or an exhaustive all-license database (breadth over depth is explicitly discouraged by the brief).</w:t>
      </w:r>
    </w:p>
    <w:p>
      <w:pPr>
        <w:pStyle w:val="ListParagraph"/>
        <w:numPr>
          <w:ilvl w:val="0"/>
          <w:numId w:val="2"/>
        </w:numPr>
        <w:spacing w:after="66" w:line="272"/>
      </w:pPr>
      <w:r>
        <w:rPr>
          <w:sz w:val="21"/>
          <w:szCs w:val="21"/>
        </w:rPr>
        <w:t xml:space="preserve">Legal advice or guarantees of correctness (the tool guides; it does not certify).</w:t>
      </w:r>
    </w:p>
    <w:p>
      <w:pPr>
        <w:pStyle w:val="Heading1"/>
        <w:spacing w:after="130" w:before="340"/>
      </w:pPr>
      <w:r>
        <w:rPr>
          <w:b/>
          <w:bCs/>
          <w:color w:val="1F4E5F"/>
          <w:sz w:val="28"/>
          <w:szCs w:val="28"/>
        </w:rPr>
        <w:t xml:space="preserve">9.  Assumptions &amp; open risks</w:t>
      </w:r>
    </w:p>
    <w:p>
      <w:pPr>
        <w:spacing w:after="110" w:line="278"/>
      </w:pPr>
      <w:r>
        <w:rPr>
          <w:sz w:val="21"/>
          <w:szCs w:val="21"/>
        </w:rPr>
        <w:t xml:space="preserve">Stated plainly, because this PRD rests on secondary research alone:</w:t>
      </w:r>
    </w:p>
    <w:p>
      <w:pPr>
        <w:pStyle w:val="ListParagraph"/>
        <w:numPr>
          <w:ilvl w:val="0"/>
          <w:numId w:val="2"/>
        </w:numPr>
        <w:spacing w:after="66" w:line="272"/>
      </w:pPr>
      <w:r>
        <w:rPr>
          <w:b/>
          <w:bCs/>
          <w:sz w:val="21"/>
          <w:szCs w:val="21"/>
        </w:rPr>
        <w:t xml:space="preserve">No primary validation. </w:t>
      </w:r>
      <w:r>
        <w:rPr>
          <w:sz w:val="21"/>
          <w:szCs w:val="21"/>
        </w:rPr>
        <w:t xml:space="preserve">Personas and their relative importance are hypotheses. Magnitude (which persona is largest / most willing to use or pay) is unverified. Mitigation: instrument the MVP and let real usage rank them.</w:t>
      </w:r>
    </w:p>
    <w:p>
      <w:pPr>
        <w:pStyle w:val="ListParagraph"/>
        <w:numPr>
          <w:ilvl w:val="0"/>
          <w:numId w:val="2"/>
        </w:numPr>
        <w:spacing w:after="66" w:line="272"/>
      </w:pPr>
      <w:r>
        <w:rPr>
          <w:b/>
          <w:bCs/>
          <w:sz w:val="21"/>
          <w:szCs w:val="21"/>
        </w:rPr>
        <w:t xml:space="preserve">Accuracy risk. </w:t>
      </w:r>
      <w:r>
        <w:rPr>
          <w:sz w:val="21"/>
          <w:szCs w:val="21"/>
        </w:rPr>
        <w:t xml:space="preserve">License requirements vary by city and change over time; incorrect guidance could mislead a user. Mitigation: scope to one city, cite official sources, and frame output as guidance, not legal advice.</w:t>
      </w:r>
    </w:p>
    <w:p>
      <w:pPr>
        <w:pStyle w:val="ListParagraph"/>
        <w:numPr>
          <w:ilvl w:val="0"/>
          <w:numId w:val="2"/>
        </w:numPr>
        <w:spacing w:after="66" w:line="272"/>
      </w:pPr>
      <w:r>
        <w:rPr>
          <w:b/>
          <w:bCs/>
          <w:sz w:val="21"/>
          <w:szCs w:val="21"/>
        </w:rPr>
        <w:t xml:space="preserve">“Why not just use an agent / myScheme / a Google search?” </w:t>
      </w:r>
      <w:r>
        <w:rPr>
          <w:sz w:val="21"/>
          <w:szCs w:val="21"/>
        </w:rPr>
        <w:t xml:space="preserve">Assumes users will prefer self-serve clarity. Unproven. Mitigation: differentiate on personalized, sequenced, transparent output rather than a static list.</w:t>
      </w:r>
    </w:p>
    <w:p>
      <w:pPr>
        <w:pStyle w:val="ListParagraph"/>
        <w:numPr>
          <w:ilvl w:val="0"/>
          <w:numId w:val="2"/>
        </w:numPr>
        <w:spacing w:after="66" w:line="272"/>
      </w:pPr>
      <w:r>
        <w:rPr>
          <w:b/>
          <w:bCs/>
          <w:sz w:val="21"/>
          <w:szCs w:val="21"/>
        </w:rPr>
        <w:t xml:space="preserve">Data freshness. </w:t>
      </w:r>
      <w:r>
        <w:rPr>
          <w:sz w:val="21"/>
          <w:szCs w:val="21"/>
        </w:rPr>
        <w:t xml:space="preserve">Fees, thresholds, and processes change (e.g. GST turnover thresholds, city processes). Mitigation: keep the underlying rules data small, sourced, and easy to update for the MVP's single city.</w:t>
      </w:r>
    </w:p>
    <w:p>
      <w:pPr>
        <w:pStyle w:val="ListParagraph"/>
        <w:numPr>
          <w:ilvl w:val="0"/>
          <w:numId w:val="2"/>
        </w:numPr>
        <w:spacing w:after="66" w:line="272"/>
      </w:pPr>
      <w:r>
        <w:rPr>
          <w:b/>
          <w:bCs/>
          <w:sz w:val="21"/>
          <w:szCs w:val="21"/>
        </w:rPr>
        <w:t xml:space="preserve">Adoption in 9 days. </w:t>
      </w:r>
      <w:r>
        <w:rPr>
          <w:sz w:val="21"/>
          <w:szCs w:val="21"/>
        </w:rPr>
        <w:t xml:space="preserve">Getting real users and feedback quickly is itself a risk. Mitigation: P3 (digital-native) is the easiest to reach and instrument first.</w:t>
      </w:r>
    </w:p>
    <w:p>
      <w:pPr>
        <w:pStyle w:val="Heading1"/>
        <w:spacing w:after="130" w:before="340"/>
      </w:pPr>
      <w:r>
        <w:rPr>
          <w:b/>
          <w:bCs/>
          <w:color w:val="1F4E5F"/>
          <w:sz w:val="28"/>
          <w:szCs w:val="28"/>
        </w:rPr>
        <w:t xml:space="preserve">10.  How we'll know it's working (success signals)</w:t>
      </w:r>
    </w:p>
    <w:p>
      <w:pPr>
        <w:spacing w:after="110" w:line="278"/>
      </w:pPr>
      <w:r>
        <w:rPr>
          <w:sz w:val="21"/>
          <w:szCs w:val="21"/>
        </w:rPr>
        <w:t xml:space="preserve">Problem-space level only; detailed product/business metrics belong in the Solution PRD. Early signals that the problem is real and the direction is right:</w:t>
      </w:r>
    </w:p>
    <w:p>
      <w:pPr>
        <w:pStyle w:val="ListParagraph"/>
        <w:numPr>
          <w:ilvl w:val="0"/>
          <w:numId w:val="2"/>
        </w:numPr>
        <w:spacing w:after="66" w:line="272"/>
      </w:pPr>
      <w:r>
        <w:rPr>
          <w:sz w:val="21"/>
          <w:szCs w:val="21"/>
        </w:rPr>
        <w:t xml:space="preserve">Users complete the discovery flow and reach a personalized license list (activation).</w:t>
      </w:r>
    </w:p>
    <w:p>
      <w:pPr>
        <w:pStyle w:val="ListParagraph"/>
        <w:numPr>
          <w:ilvl w:val="0"/>
          <w:numId w:val="2"/>
        </w:numPr>
        <w:spacing w:after="66" w:line="272"/>
      </w:pPr>
      <w:r>
        <w:rPr>
          <w:sz w:val="21"/>
          <w:szCs w:val="21"/>
        </w:rPr>
        <w:t xml:space="preserve">Users say the output told them something they didn't already know / cleared confusion (qualitative).</w:t>
      </w:r>
    </w:p>
    <w:p>
      <w:pPr>
        <w:pStyle w:val="ListParagraph"/>
        <w:numPr>
          <w:ilvl w:val="0"/>
          <w:numId w:val="2"/>
        </w:numPr>
        <w:spacing w:after="66" w:line="272"/>
      </w:pPr>
      <w:r>
        <w:rPr>
          <w:sz w:val="21"/>
          <w:szCs w:val="21"/>
        </w:rPr>
        <w:t xml:space="preserve">Users click through to at least one official portal (intent to act).</w:t>
      </w:r>
    </w:p>
    <w:p>
      <w:pPr>
        <w:pStyle w:val="ListParagraph"/>
        <w:numPr>
          <w:ilvl w:val="0"/>
          <w:numId w:val="2"/>
        </w:numPr>
        <w:spacing w:after="66" w:line="272"/>
      </w:pPr>
      <w:r>
        <w:rPr>
          <w:sz w:val="21"/>
          <w:szCs w:val="21"/>
        </w:rPr>
        <w:t xml:space="preserve">Return or share behaviour — any sign the output was useful enough to revisit or pass on.</w:t>
      </w:r>
    </w:p>
    <w:p>
      <w:pPr>
        <w:pBdr>
          <w:left w:val="single" w:color="2E7D8A" w:sz="18" w:space="10"/>
        </w:pBdr>
        <w:shd w:fill="EEF4F6" w:val="clear"/>
        <w:spacing w:after="110" w:line="272"/>
        <w:ind w:left="150" w:right="150"/>
      </w:pPr>
      <w:r>
        <w:rPr>
          <w:i/>
          <w:iCs/>
          <w:color w:val="333333"/>
          <w:sz w:val="20"/>
          <w:szCs w:val="20"/>
        </w:rPr>
        <w:t xml:space="preserve">Event tracking (e.g. Mixpanel) should be wired across this journey from the first build so real usage can rank the personas that secondary research could not.</w:t>
      </w:r>
    </w:p>
    <w:p>
      <w:pPr>
        <w:pStyle w:val="Heading1"/>
        <w:spacing w:after="130" w:before="340"/>
      </w:pPr>
      <w:r>
        <w:rPr>
          <w:b/>
          <w:bCs/>
          <w:color w:val="1F4E5F"/>
          <w:sz w:val="28"/>
          <w:szCs w:val="28"/>
        </w:rPr>
        <w:t xml:space="preserve">11.  References (secondary sources)</w:t>
      </w:r>
    </w:p>
    <w:p>
      <w:pPr>
        <w:spacing w:after="110" w:line="278"/>
      </w:pPr>
      <w:r>
        <w:rPr>
          <w:sz w:val="21"/>
          <w:szCs w:val="21"/>
        </w:rPr>
        <w:t xml:space="preserve">Public sources consulted for this problem space. Included for defensibility; several are agent/legal-service pages and are treated as market framing rather than neutral fact. Dated sources are flagged in-line above.</w:t>
      </w:r>
    </w:p>
    <w:p>
      <w:pPr>
        <w:pStyle w:val="ListParagraph"/>
        <w:numPr>
          <w:ilvl w:val="0"/>
          <w:numId w:val="2"/>
        </w:numPr>
        <w:spacing w:after="66" w:line="272"/>
      </w:pPr>
      <w:r>
        <w:rPr>
          <w:sz w:val="21"/>
          <w:szCs w:val="21"/>
        </w:rPr>
        <w:t xml:space="preserve">Restaurant licensing overviews (license counts, sequencing, city variation): gofrugal.com, legalwiz.in, restroworks.com, orderzy.in, recaho.com</w:t>
      </w:r>
    </w:p>
    <w:p>
      <w:pPr>
        <w:pStyle w:val="ListParagraph"/>
        <w:numPr>
          <w:ilvl w:val="0"/>
          <w:numId w:val="2"/>
        </w:numPr>
        <w:spacing w:after="66" w:line="272"/>
      </w:pPr>
      <w:r>
        <w:rPr>
          <w:sz w:val="21"/>
          <w:szCs w:val="21"/>
        </w:rPr>
        <w:t xml:space="preserve">Home-baker / tiffin / Instagram-seller FSSAI guidance (awareness triggers, FSSAI vs GST confusion, platform gatekeeping, penalties): trufflenationonline.com, homebakers.co.in, velcolegalindia.com, psrcompliance.com, leintelligensia.com</w:t>
      </w:r>
    </w:p>
    <w:p>
      <w:pPr>
        <w:pStyle w:val="ListParagraph"/>
        <w:numPr>
          <w:ilvl w:val="0"/>
          <w:numId w:val="2"/>
        </w:numPr>
        <w:spacing w:after="66" w:line="272"/>
      </w:pPr>
      <w:r>
        <w:rPr>
          <w:sz w:val="21"/>
          <w:szCs w:val="21"/>
        </w:rPr>
        <w:t xml:space="preserve">“Which FSSAI license do I need” framing (discovery vs. whether): legalpapersindia.com</w:t>
      </w:r>
    </w:p>
    <w:p>
      <w:pPr>
        <w:pStyle w:val="ListParagraph"/>
        <w:numPr>
          <w:ilvl w:val="0"/>
          <w:numId w:val="2"/>
        </w:numPr>
        <w:spacing w:after="66" w:line="272"/>
      </w:pPr>
      <w:r>
        <w:rPr>
          <w:sz w:val="21"/>
          <w:szCs w:val="21"/>
        </w:rPr>
        <w:t xml:space="preserve">Government fee vs. agent pricing signals: FSSAI/FoSCoS guidance (₹100/yr basic), agent listing pages (indiamart.com, velcolegalindia.com)</w:t>
      </w:r>
    </w:p>
    <w:p>
      <w:pPr>
        <w:pStyle w:val="ListParagraph"/>
        <w:numPr>
          <w:ilvl w:val="0"/>
          <w:numId w:val="2"/>
        </w:numPr>
        <w:spacing w:after="66" w:line="272"/>
      </w:pPr>
      <w:r>
        <w:rPr>
          <w:sz w:val="21"/>
          <w:szCs w:val="21"/>
        </w:rPr>
        <w:t xml:space="preserve">Red-tape backdrop (DATED): KPMG-CII Ease of Doing Business survey (~2014, via pressreader.com); World Bank Doing Business figures (report discontinued 2021, via gulfnews.com)</w:t>
      </w:r>
    </w:p>
    <w:p>
      <w:pPr>
        <w:pStyle w:val="ListParagraph"/>
        <w:numPr>
          <w:ilvl w:val="0"/>
          <w:numId w:val="2"/>
        </w:numPr>
        <w:spacing w:after="66" w:line="272"/>
      </w:pPr>
      <w:r>
        <w:rPr>
          <w:sz w:val="21"/>
          <w:szCs w:val="21"/>
        </w:rPr>
        <w:t xml:space="preserve">Founder first-person account of Indian company setup friction: fiveslices.substack.com</w:t>
      </w:r>
    </w:p>
    <w:p>
      <w:pPr>
        <w:pStyle w:val="ListParagraph"/>
        <w:numPr>
          <w:ilvl w:val="0"/>
          <w:numId w:val="2"/>
        </w:numPr>
        <w:spacing w:after="66" w:line="272"/>
      </w:pPr>
      <w:r>
        <w:rPr>
          <w:sz w:val="21"/>
          <w:szCs w:val="21"/>
        </w:rPr>
        <w:t xml:space="preserve">Global inspiration (verify before external citation): Singapore GoBusiness Licensing model</w:t>
      </w:r>
    </w:p>
    <w:p>
      <w:pPr>
        <w:spacing w:after="90" w:line="268"/>
      </w:pPr>
      <w:r>
        <w:rPr>
          <w:i/>
          <w:iCs/>
          <w:color w:val="8A5A00"/>
          <w:sz w:val="19"/>
          <w:szCs w:val="19"/>
        </w:rPr>
        <w:t xml:space="preserve">⚠ All figures and legal specifics in this document should be re-verified against primary/official sources before any external or public use.</w:t>
      </w:r>
    </w:p>
    <w:sectPr>
      <w:pgSz w:w="11906" w:h="16838"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2026-09-01T16:33:06.733Z</dcterms:created>
  <dcterms:modified xsi:type="dcterms:W3CDTF">2026-09-01T16:33:06.747Z</dcterms:modified>
</cp:coreProperties>
</file>

<file path=docProps/custom.xml><?xml version="1.0" encoding="utf-8"?>
<Properties xmlns="http://schemas.openxmlformats.org/officeDocument/2006/custom-properties" xmlns:vt="http://schemas.openxmlformats.org/officeDocument/2006/docPropsVTypes"/>
</file>