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63720AD" w:rsidR="00E97402" w:rsidRDefault="00356D48">
      <w:pPr>
        <w:pStyle w:val="Title"/>
        <w:framePr w:wrap="notBeside"/>
      </w:pPr>
      <w:r>
        <w:t>SFU Resources App</w:t>
      </w:r>
    </w:p>
    <w:p w14:paraId="57A655BF" w14:textId="02D3DA82" w:rsidR="00E97402" w:rsidRDefault="00356D48">
      <w:pPr>
        <w:pStyle w:val="Authors"/>
        <w:framePr w:wrap="notBeside"/>
      </w:pPr>
      <w:r>
        <w:t>Prashant Shashikumar</w:t>
      </w:r>
      <w:r>
        <w:tab/>
      </w:r>
      <w:r>
        <w:tab/>
        <w:t xml:space="preserve">Kunal Gulati </w:t>
      </w:r>
      <w:r>
        <w:tab/>
      </w:r>
      <w:r>
        <w:tab/>
        <w:t>Myles Dawson</w:t>
      </w:r>
      <w:r>
        <w:tab/>
      </w:r>
      <w:r>
        <w:tab/>
        <w:t>Colin Young</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w:t>
      </w:r>
      <w:bookmarkStart w:id="1" w:name="_GoBack"/>
      <w:bookmarkEnd w:id="1"/>
      <w:r>
        <w:t xml:space="preserve">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t xml:space="preserve">A parenthetical statement at the end of a sentence is punctuated outside of the closing parenthesis (like this). (A parenthetical sentence is punctuated within the parentheses.) In </w:t>
      </w:r>
      <w:r>
        <w:lastRenderedPageBreak/>
        <w:t>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3" o:title=""/>
          </v:shape>
          <o:OLEObject Type="Embed" ProgID="Equation.3" ShapeID="_x0000_i1025" DrawAspect="Content" ObjectID="_1552511968" r:id="rId14"/>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5"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val="en-CA" w:eastAsia="en-CA"/>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lang w:val="en-CA" w:eastAsia="en-CA"/>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lang w:val="en-CA" w:eastAsia="en-CA"/>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lang w:val="en-CA" w:eastAsia="en-CA"/>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Mx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Mx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Pr="001F4C5C">
        <w:rPr>
          <w:rStyle w:val="bodytype"/>
          <w:rFonts w:ascii="Times" w:hAnsi="Times"/>
          <w:color w:val="000000" w:themeColor="text1"/>
          <w:sz w:val="20"/>
          <w:szCs w:val="20"/>
        </w:rPr>
        <w:lastRenderedPageBreak/>
        <w:t xml:space="preserve">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4pt;height:6pt" o:ole="" fillcolor="window">
            <v:imagedata r:id="rId17" o:title=""/>
          </v:shape>
          <o:OLEObject Type="Embed" ProgID="Equation.3" ShapeID="_x0000_i1026" DrawAspect="Content" ObjectID="_1552511969"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w:t>
      </w:r>
      <w:r w:rsidRPr="00E857A2">
        <w:rPr>
          <w:rFonts w:ascii="Times" w:hAnsi="Times" w:cs="Verdana"/>
          <w:color w:val="000000" w:themeColor="text1"/>
        </w:rPr>
        <w:t xml:space="preserve">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r>
        <w:t>ScholarOne</w:t>
      </w:r>
      <w:proofErr w:type="spellEnd"/>
      <w:r>
        <w:t xml:space="preserv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w:t>
      </w:r>
      <w:r>
        <w:t>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w:t>
      </w:r>
      <w:r>
        <w:lastRenderedPageBreak/>
        <w:t>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lastRenderedPageBreak/>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val="en-CA" w:eastAsia="en-CA"/>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en-CA" w:eastAsia="en-CA"/>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val="en-CA" w:eastAsia="en-CA"/>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DD751" w14:textId="77777777" w:rsidR="00D16AE5" w:rsidRDefault="00D16AE5">
      <w:r>
        <w:separator/>
      </w:r>
    </w:p>
  </w:endnote>
  <w:endnote w:type="continuationSeparator" w:id="0">
    <w:p w14:paraId="641C8790" w14:textId="77777777" w:rsidR="00D16AE5" w:rsidRDefault="00D1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A12FB" w14:textId="77777777" w:rsidR="00D16AE5" w:rsidRDefault="00D16AE5"/>
  </w:footnote>
  <w:footnote w:type="continuationSeparator" w:id="0">
    <w:p w14:paraId="66BAA4E3" w14:textId="77777777" w:rsidR="00D16AE5" w:rsidRDefault="00D16AE5">
      <w:r>
        <w:continuationSeparator/>
      </w:r>
    </w:p>
  </w:footnote>
  <w:footnote w:id="1">
    <w:p w14:paraId="6181040B" w14:textId="25E0FB68"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FC5B367" w:rsidR="00DE07FA" w:rsidRDefault="00DE07FA">
    <w:pPr>
      <w:framePr w:wrap="auto" w:vAnchor="text" w:hAnchor="margin" w:xAlign="right" w:y="1"/>
    </w:pPr>
    <w:r>
      <w:fldChar w:fldCharType="begin"/>
    </w:r>
    <w:r>
      <w:instrText xml:space="preserve">PAGE  </w:instrText>
    </w:r>
    <w:r>
      <w:fldChar w:fldCharType="separate"/>
    </w:r>
    <w:r w:rsidR="001F02E2">
      <w:rPr>
        <w:noProof/>
      </w:rPr>
      <w:t>8</w:t>
    </w:r>
    <w:r>
      <w:fldChar w:fldCharType="end"/>
    </w:r>
  </w:p>
  <w:p w14:paraId="3C734628" w14:textId="4D20AD20"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02E2"/>
    <w:rsid w:val="001F4C5C"/>
    <w:rsid w:val="00204478"/>
    <w:rsid w:val="00214E2E"/>
    <w:rsid w:val="00216141"/>
    <w:rsid w:val="00217186"/>
    <w:rsid w:val="002434A1"/>
    <w:rsid w:val="00263943"/>
    <w:rsid w:val="00267B35"/>
    <w:rsid w:val="002F7910"/>
    <w:rsid w:val="003427CE"/>
    <w:rsid w:val="00356D48"/>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B0CAE"/>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16AE5"/>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5E822BF-1B55-4021-9BA6-F340C5DC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5A54B-C4DD-4D77-B300-7B581888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6058</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Prashant Shashikumar</cp:lastModifiedBy>
  <cp:revision>3</cp:revision>
  <cp:lastPrinted>2012-08-02T18:53:00Z</cp:lastPrinted>
  <dcterms:created xsi:type="dcterms:W3CDTF">2017-04-01T07:33:00Z</dcterms:created>
  <dcterms:modified xsi:type="dcterms:W3CDTF">2017-04-01T07:33:00Z</dcterms:modified>
</cp:coreProperties>
</file>