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2819C0">
      <w:pPr>
        <w:spacing w:line="240" w:lineRule="atLeast"/>
        <w:rPr>
          <w:b/>
          <w:u w:val="single"/>
        </w:rPr>
      </w:pPr>
      <w:r>
        <w:rPr>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25.5pt;margin-top:-.75pt;width:322.5pt;height:196.5pt;z-index:-1">
            <v:imagedata r:id="rId7" o:title="ArtKnifeBackground"/>
          </v:shape>
        </w:pict>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0707B1" w:rsidP="00E04567">
      <w:pPr>
        <w:spacing w:line="240" w:lineRule="atLeast"/>
        <w:jc w:val="right"/>
        <w:outlineLvl w:val="0"/>
        <w:rPr>
          <w:rFonts w:ascii="Arial" w:hAnsi="Arial"/>
          <w:b/>
          <w:sz w:val="36"/>
          <w:szCs w:val="36"/>
        </w:rPr>
      </w:pPr>
      <w:r>
        <w:rPr>
          <w:rFonts w:ascii="Arial" w:hAnsi="Arial"/>
          <w:b/>
          <w:sz w:val="36"/>
          <w:szCs w:val="36"/>
        </w:rPr>
        <w:t>Specification</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FB2FF0" w:rsidP="00E04567">
      <w:pPr>
        <w:jc w:val="right"/>
        <w:rPr>
          <w:rFonts w:ascii="Arial" w:hAnsi="Arial"/>
          <w:b/>
          <w:sz w:val="36"/>
          <w:szCs w:val="36"/>
        </w:rPr>
      </w:pPr>
      <w:r>
        <w:rPr>
          <w:rFonts w:ascii="Arial" w:hAnsi="Arial"/>
          <w:b/>
          <w:sz w:val="36"/>
          <w:szCs w:val="36"/>
        </w:rPr>
        <w:t>Cluster Support</w:t>
      </w: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2819C0" w:rsidP="00E04567">
      <w:pPr>
        <w:spacing w:line="240" w:lineRule="atLeast"/>
        <w:jc w:val="right"/>
        <w:outlineLvl w:val="0"/>
        <w:rPr>
          <w:rFonts w:ascii="Arial" w:hAnsi="Arial"/>
          <w:b/>
          <w:sz w:val="24"/>
          <w:szCs w:val="24"/>
        </w:rPr>
      </w:pPr>
      <w:fldSimple w:instr=" AUTHOR  &quot;Kurt Goolsbee&quot;  \* MERGEFORMAT ">
        <w:r w:rsidR="00180399">
          <w:rPr>
            <w:rFonts w:ascii="Arial" w:hAnsi="Arial"/>
            <w:b/>
            <w:noProof/>
            <w:sz w:val="24"/>
            <w:szCs w:val="24"/>
          </w:rPr>
          <w:t>Kurt Goolsbee</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2819C0"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9341F4">
        <w:rPr>
          <w:rFonts w:ascii="Arial" w:hAnsi="Arial"/>
          <w:b/>
          <w:noProof/>
        </w:rPr>
        <w:t>10/6/09</w:t>
      </w:r>
      <w:r>
        <w:rPr>
          <w:rFonts w:ascii="Arial" w:hAnsi="Arial"/>
          <w:b/>
        </w:rPr>
        <w:fldChar w:fldCharType="end"/>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819C0">
      <w:pPr>
        <w:spacing w:line="240" w:lineRule="atLeast"/>
        <w:jc w:val="center"/>
        <w:rPr>
          <w:b/>
        </w:rPr>
      </w:pPr>
      <w:r>
        <w:pict>
          <v:shape id="_x0000_i1025" type="#_x0000_t75" style="width:136.45pt;height:49.4pt">
            <v:imagedata r:id="rId8" o:title="IderaLogo"/>
          </v:shape>
        </w:pict>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9"/>
          <w:pgSz w:w="12240" w:h="15840" w:code="1"/>
          <w:pgMar w:top="1440" w:right="1440" w:bottom="1440" w:left="1440" w:header="720" w:footer="720" w:gutter="0"/>
          <w:pgNumType w:fmt="lowerRoman"/>
          <w:cols w:space="720"/>
        </w:sectPr>
      </w:pPr>
      <w:r>
        <w:rPr>
          <w:b/>
        </w:rPr>
        <w:t>© 200</w:t>
      </w:r>
      <w:r w:rsidR="00FB2FF0">
        <w:rPr>
          <w:b/>
        </w:rPr>
        <w:t>9</w:t>
      </w:r>
      <w:r>
        <w:rPr>
          <w:b/>
        </w:rPr>
        <w:t xml:space="preserve"> </w:t>
      </w:r>
      <w:r w:rsidR="00B6137C">
        <w:rPr>
          <w:b/>
        </w:rPr>
        <w:t>BBS Technologies, Inc.</w:t>
      </w:r>
      <w:r>
        <w:rPr>
          <w:b/>
        </w:rPr>
        <w:t>; all rights reserved.</w:t>
      </w:r>
    </w:p>
    <w:p w:rsidR="00AA220A" w:rsidRDefault="00AA220A">
      <w:pPr>
        <w:pStyle w:val="Heading1"/>
      </w:pPr>
      <w:bookmarkStart w:id="0" w:name="_Toc242854674"/>
      <w:r>
        <w:lastRenderedPageBreak/>
        <w:t>Revision history:</w:t>
      </w:r>
      <w:bookmarkEnd w:id="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FB2FF0" w:rsidP="00FB2FF0">
            <w:pPr>
              <w:spacing w:line="240" w:lineRule="atLeast"/>
            </w:pPr>
            <w:r>
              <w:t>9</w:t>
            </w:r>
            <w:r w:rsidR="002D297E">
              <w:t>/</w:t>
            </w:r>
            <w:r>
              <w:t>01</w:t>
            </w:r>
            <w:r w:rsidR="002D297E">
              <w:t>/2009</w:t>
            </w:r>
          </w:p>
        </w:tc>
        <w:tc>
          <w:tcPr>
            <w:tcW w:w="1800" w:type="dxa"/>
          </w:tcPr>
          <w:p w:rsidR="00AA220A" w:rsidRDefault="00FB2FF0">
            <w:pPr>
              <w:spacing w:line="240" w:lineRule="atLeast"/>
            </w:pPr>
            <w:r>
              <w:t xml:space="preserve">Kurt </w:t>
            </w:r>
          </w:p>
        </w:tc>
        <w:tc>
          <w:tcPr>
            <w:tcW w:w="5310" w:type="dxa"/>
          </w:tcPr>
          <w:p w:rsidR="00AA220A" w:rsidRDefault="002D297E">
            <w:pPr>
              <w:spacing w:line="240" w:lineRule="atLeast"/>
            </w:pPr>
            <w:r>
              <w:t>First draft</w:t>
            </w:r>
          </w:p>
        </w:tc>
      </w:tr>
      <w:tr w:rsidR="00487294">
        <w:tc>
          <w:tcPr>
            <w:tcW w:w="1818" w:type="dxa"/>
          </w:tcPr>
          <w:p w:rsidR="00487294" w:rsidRDefault="00595803">
            <w:pPr>
              <w:spacing w:line="240" w:lineRule="atLeast"/>
            </w:pPr>
            <w:r>
              <w:t>10/9.2009</w:t>
            </w:r>
          </w:p>
        </w:tc>
        <w:tc>
          <w:tcPr>
            <w:tcW w:w="1800" w:type="dxa"/>
          </w:tcPr>
          <w:p w:rsidR="00487294" w:rsidRDefault="00595803">
            <w:pPr>
              <w:spacing w:line="240" w:lineRule="atLeast"/>
            </w:pPr>
            <w:r>
              <w:t>Kurt</w:t>
            </w:r>
          </w:p>
        </w:tc>
        <w:tc>
          <w:tcPr>
            <w:tcW w:w="5310" w:type="dxa"/>
          </w:tcPr>
          <w:p w:rsidR="00487294" w:rsidRDefault="00595803">
            <w:pPr>
              <w:spacing w:line="240" w:lineRule="atLeast"/>
            </w:pPr>
            <w:r>
              <w:t xml:space="preserve">Reduced scope </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1" w:name="_Toc360430684"/>
      <w:bookmarkStart w:id="2" w:name="_Toc360430776"/>
      <w:bookmarkStart w:id="3" w:name="_Toc375126851"/>
      <w:bookmarkStart w:id="4" w:name="_Toc375126885"/>
      <w:bookmarkStart w:id="5" w:name="_Toc375126910"/>
      <w:bookmarkStart w:id="6" w:name="_Toc381264533"/>
      <w:bookmarkStart w:id="7" w:name="_Toc242854675"/>
      <w:bookmarkStart w:id="8" w:name="_Toc360430685"/>
      <w:bookmarkStart w:id="9" w:name="_Toc360430777"/>
      <w:bookmarkStart w:id="10" w:name="_Toc360431033"/>
      <w:bookmarkStart w:id="11" w:name="_Toc360431497"/>
      <w:bookmarkStart w:id="12" w:name="_Toc360431909"/>
      <w:bookmarkEnd w:id="1"/>
      <w:bookmarkEnd w:id="2"/>
      <w:bookmarkEnd w:id="3"/>
      <w:bookmarkEnd w:id="4"/>
      <w:bookmarkEnd w:id="5"/>
      <w:r>
        <w:lastRenderedPageBreak/>
        <w:t>Table of Contents</w:t>
      </w:r>
      <w:bookmarkEnd w:id="6"/>
      <w:bookmarkEnd w:id="7"/>
    </w:p>
    <w:p w:rsidR="009341F4" w:rsidRDefault="002819C0">
      <w:pPr>
        <w:pStyle w:val="TOC1"/>
        <w:rPr>
          <w:rFonts w:asciiTheme="minorHAnsi" w:eastAsiaTheme="minorEastAsia" w:hAnsiTheme="minorHAnsi" w:cstheme="minorBidi"/>
          <w:b w:val="0"/>
          <w:caps w:val="0"/>
          <w:noProof/>
          <w:sz w:val="22"/>
          <w:szCs w:val="22"/>
        </w:rPr>
      </w:pPr>
      <w:r w:rsidRPr="002819C0">
        <w:fldChar w:fldCharType="begin"/>
      </w:r>
      <w:r w:rsidR="00AA220A">
        <w:instrText xml:space="preserve"> TOC \o "1-3" </w:instrText>
      </w:r>
      <w:r w:rsidRPr="002819C0">
        <w:fldChar w:fldCharType="separate"/>
      </w:r>
      <w:r w:rsidR="009341F4">
        <w:rPr>
          <w:noProof/>
        </w:rPr>
        <w:t>1. Revision history:</w:t>
      </w:r>
      <w:r w:rsidR="009341F4">
        <w:rPr>
          <w:noProof/>
        </w:rPr>
        <w:tab/>
      </w:r>
      <w:r>
        <w:rPr>
          <w:noProof/>
        </w:rPr>
        <w:fldChar w:fldCharType="begin"/>
      </w:r>
      <w:r w:rsidR="009341F4">
        <w:rPr>
          <w:noProof/>
        </w:rPr>
        <w:instrText xml:space="preserve"> PAGEREF _Toc242854674 \h </w:instrText>
      </w:r>
      <w:r>
        <w:rPr>
          <w:noProof/>
        </w:rPr>
      </w:r>
      <w:r>
        <w:rPr>
          <w:noProof/>
        </w:rPr>
        <w:fldChar w:fldCharType="separate"/>
      </w:r>
      <w:r w:rsidR="009341F4">
        <w:rPr>
          <w:noProof/>
        </w:rPr>
        <w:t>ii</w:t>
      </w:r>
      <w:r>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2819C0">
        <w:rPr>
          <w:noProof/>
        </w:rPr>
        <w:fldChar w:fldCharType="begin"/>
      </w:r>
      <w:r>
        <w:rPr>
          <w:noProof/>
        </w:rPr>
        <w:instrText xml:space="preserve"> PAGEREF _Toc242854675 \h </w:instrText>
      </w:r>
      <w:r w:rsidR="002819C0">
        <w:rPr>
          <w:noProof/>
        </w:rPr>
      </w:r>
      <w:r w:rsidR="002819C0">
        <w:rPr>
          <w:noProof/>
        </w:rPr>
        <w:fldChar w:fldCharType="separate"/>
      </w:r>
      <w:r>
        <w:rPr>
          <w:noProof/>
        </w:rPr>
        <w:t>iii</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3. Requirements</w:t>
      </w:r>
      <w:r>
        <w:rPr>
          <w:noProof/>
        </w:rPr>
        <w:tab/>
      </w:r>
      <w:r w:rsidR="002819C0">
        <w:rPr>
          <w:noProof/>
        </w:rPr>
        <w:fldChar w:fldCharType="begin"/>
      </w:r>
      <w:r>
        <w:rPr>
          <w:noProof/>
        </w:rPr>
        <w:instrText xml:space="preserve"> PAGEREF _Toc242854676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3.1.</w:t>
      </w:r>
      <w:r>
        <w:rPr>
          <w:noProof/>
        </w:rPr>
        <w:t xml:space="preserve"> Overview/Purpose</w:t>
      </w:r>
      <w:r>
        <w:rPr>
          <w:noProof/>
        </w:rPr>
        <w:tab/>
      </w:r>
      <w:r w:rsidR="002819C0">
        <w:rPr>
          <w:noProof/>
        </w:rPr>
        <w:fldChar w:fldCharType="begin"/>
      </w:r>
      <w:r>
        <w:rPr>
          <w:noProof/>
        </w:rPr>
        <w:instrText xml:space="preserve"> PAGEREF _Toc242854677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3.1.1. Related Customer Requests</w:t>
      </w:r>
      <w:r>
        <w:rPr>
          <w:noProof/>
        </w:rPr>
        <w:tab/>
      </w:r>
      <w:r w:rsidR="002819C0">
        <w:rPr>
          <w:noProof/>
        </w:rPr>
        <w:fldChar w:fldCharType="begin"/>
      </w:r>
      <w:r>
        <w:rPr>
          <w:noProof/>
        </w:rPr>
        <w:instrText xml:space="preserve"> PAGEREF _Toc242854678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3.2.</w:t>
      </w:r>
      <w:r>
        <w:rPr>
          <w:noProof/>
        </w:rPr>
        <w:t xml:space="preserve"> Target Users</w:t>
      </w:r>
      <w:r>
        <w:rPr>
          <w:noProof/>
        </w:rPr>
        <w:tab/>
      </w:r>
      <w:r w:rsidR="002819C0">
        <w:rPr>
          <w:noProof/>
        </w:rPr>
        <w:fldChar w:fldCharType="begin"/>
      </w:r>
      <w:r>
        <w:rPr>
          <w:noProof/>
        </w:rPr>
        <w:instrText xml:space="preserve"> PAGEREF _Toc242854679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3.3.</w:t>
      </w:r>
      <w:r>
        <w:rPr>
          <w:noProof/>
        </w:rPr>
        <w:t xml:space="preserve"> Feature/Function Market Requirements</w:t>
      </w:r>
      <w:r>
        <w:rPr>
          <w:noProof/>
        </w:rPr>
        <w:tab/>
      </w:r>
      <w:r w:rsidR="002819C0">
        <w:rPr>
          <w:noProof/>
        </w:rPr>
        <w:fldChar w:fldCharType="begin"/>
      </w:r>
      <w:r>
        <w:rPr>
          <w:noProof/>
        </w:rPr>
        <w:instrText xml:space="preserve"> PAGEREF _Toc242854680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3.3.1. Function in a Cluster</w:t>
      </w:r>
      <w:r>
        <w:rPr>
          <w:noProof/>
        </w:rPr>
        <w:tab/>
      </w:r>
      <w:r w:rsidR="002819C0">
        <w:rPr>
          <w:noProof/>
        </w:rPr>
        <w:fldChar w:fldCharType="begin"/>
      </w:r>
      <w:r>
        <w:rPr>
          <w:noProof/>
        </w:rPr>
        <w:instrText xml:space="preserve"> PAGEREF _Toc242854681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3.3.2. Non-Supported Functions</w:t>
      </w:r>
      <w:r>
        <w:rPr>
          <w:noProof/>
        </w:rPr>
        <w:tab/>
      </w:r>
      <w:r w:rsidR="002819C0">
        <w:rPr>
          <w:noProof/>
        </w:rPr>
        <w:fldChar w:fldCharType="begin"/>
      </w:r>
      <w:r>
        <w:rPr>
          <w:noProof/>
        </w:rPr>
        <w:instrText xml:space="preserve"> PAGEREF _Toc242854682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3.4.</w:t>
      </w:r>
      <w:r>
        <w:rPr>
          <w:noProof/>
        </w:rPr>
        <w:t xml:space="preserve"> FAQ</w:t>
      </w:r>
      <w:r>
        <w:rPr>
          <w:noProof/>
        </w:rPr>
        <w:tab/>
      </w:r>
      <w:r w:rsidR="002819C0">
        <w:rPr>
          <w:noProof/>
        </w:rPr>
        <w:fldChar w:fldCharType="begin"/>
      </w:r>
      <w:r>
        <w:rPr>
          <w:noProof/>
        </w:rPr>
        <w:instrText xml:space="preserve"> PAGEREF _Toc242854683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3.5.</w:t>
      </w:r>
      <w:r>
        <w:rPr>
          <w:noProof/>
        </w:rPr>
        <w:t xml:space="preserve"> Open Issues</w:t>
      </w:r>
      <w:r>
        <w:rPr>
          <w:noProof/>
        </w:rPr>
        <w:tab/>
      </w:r>
      <w:r w:rsidR="002819C0">
        <w:rPr>
          <w:noProof/>
        </w:rPr>
        <w:fldChar w:fldCharType="begin"/>
      </w:r>
      <w:r>
        <w:rPr>
          <w:noProof/>
        </w:rPr>
        <w:instrText xml:space="preserve"> PAGEREF _Toc242854684 \h </w:instrText>
      </w:r>
      <w:r w:rsidR="002819C0">
        <w:rPr>
          <w:noProof/>
        </w:rPr>
      </w:r>
      <w:r w:rsidR="002819C0">
        <w:rPr>
          <w:noProof/>
        </w:rPr>
        <w:fldChar w:fldCharType="separate"/>
      </w:r>
      <w:r>
        <w:rPr>
          <w:noProof/>
        </w:rPr>
        <w:t>1</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2819C0">
        <w:rPr>
          <w:noProof/>
        </w:rPr>
        <w:fldChar w:fldCharType="begin"/>
      </w:r>
      <w:r>
        <w:rPr>
          <w:noProof/>
        </w:rPr>
        <w:instrText xml:space="preserve"> PAGEREF _Toc242854685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4.1.</w:t>
      </w:r>
      <w:r>
        <w:rPr>
          <w:noProof/>
        </w:rPr>
        <w:t xml:space="preserve"> Installation and Upgrade</w:t>
      </w:r>
      <w:r>
        <w:rPr>
          <w:noProof/>
        </w:rPr>
        <w:tab/>
      </w:r>
      <w:r w:rsidR="002819C0">
        <w:rPr>
          <w:noProof/>
        </w:rPr>
        <w:fldChar w:fldCharType="begin"/>
      </w:r>
      <w:r>
        <w:rPr>
          <w:noProof/>
        </w:rPr>
        <w:instrText xml:space="preserve"> PAGEREF _Toc242854686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4.2.</w:t>
      </w:r>
      <w:r>
        <w:rPr>
          <w:noProof/>
        </w:rPr>
        <w:t xml:space="preserve"> User Interface</w:t>
      </w:r>
      <w:r>
        <w:rPr>
          <w:noProof/>
        </w:rPr>
        <w:tab/>
      </w:r>
      <w:r w:rsidR="002819C0">
        <w:rPr>
          <w:noProof/>
        </w:rPr>
        <w:fldChar w:fldCharType="begin"/>
      </w:r>
      <w:r>
        <w:rPr>
          <w:noProof/>
        </w:rPr>
        <w:instrText xml:space="preserve"> PAGEREF _Toc242854687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4.3.</w:t>
      </w:r>
      <w:r>
        <w:rPr>
          <w:noProof/>
        </w:rPr>
        <w:t xml:space="preserve"> Configuration</w:t>
      </w:r>
      <w:r>
        <w:rPr>
          <w:noProof/>
        </w:rPr>
        <w:tab/>
      </w:r>
      <w:r w:rsidR="002819C0">
        <w:rPr>
          <w:noProof/>
        </w:rPr>
        <w:fldChar w:fldCharType="begin"/>
      </w:r>
      <w:r>
        <w:rPr>
          <w:noProof/>
        </w:rPr>
        <w:instrText xml:space="preserve"> PAGEREF _Toc242854688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4.4.</w:t>
      </w:r>
      <w:r>
        <w:rPr>
          <w:noProof/>
        </w:rPr>
        <w:t xml:space="preserve"> Permissions</w:t>
      </w:r>
      <w:r>
        <w:rPr>
          <w:noProof/>
        </w:rPr>
        <w:tab/>
      </w:r>
      <w:r w:rsidR="002819C0">
        <w:rPr>
          <w:noProof/>
        </w:rPr>
        <w:fldChar w:fldCharType="begin"/>
      </w:r>
      <w:r>
        <w:rPr>
          <w:noProof/>
        </w:rPr>
        <w:instrText xml:space="preserve"> PAGEREF _Toc242854689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4.5.</w:t>
      </w:r>
      <w:r>
        <w:rPr>
          <w:noProof/>
        </w:rPr>
        <w:t xml:space="preserve"> Licensing Issues</w:t>
      </w:r>
      <w:r>
        <w:rPr>
          <w:noProof/>
        </w:rPr>
        <w:tab/>
      </w:r>
      <w:r w:rsidR="002819C0">
        <w:rPr>
          <w:noProof/>
        </w:rPr>
        <w:fldChar w:fldCharType="begin"/>
      </w:r>
      <w:r>
        <w:rPr>
          <w:noProof/>
        </w:rPr>
        <w:instrText xml:space="preserve"> PAGEREF _Toc242854690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4.6.</w:t>
      </w:r>
      <w:r>
        <w:rPr>
          <w:noProof/>
        </w:rPr>
        <w:t xml:space="preserve"> Dependencies</w:t>
      </w:r>
      <w:r>
        <w:rPr>
          <w:noProof/>
        </w:rPr>
        <w:tab/>
      </w:r>
      <w:r w:rsidR="002819C0">
        <w:rPr>
          <w:noProof/>
        </w:rPr>
        <w:fldChar w:fldCharType="begin"/>
      </w:r>
      <w:r>
        <w:rPr>
          <w:noProof/>
        </w:rPr>
        <w:instrText xml:space="preserve"> PAGEREF _Toc242854691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4.6.1. Dependencies on Idera Software</w:t>
      </w:r>
      <w:r>
        <w:rPr>
          <w:noProof/>
        </w:rPr>
        <w:tab/>
      </w:r>
      <w:r w:rsidR="002819C0">
        <w:rPr>
          <w:noProof/>
        </w:rPr>
        <w:fldChar w:fldCharType="begin"/>
      </w:r>
      <w:r>
        <w:rPr>
          <w:noProof/>
        </w:rPr>
        <w:instrText xml:space="preserve"> PAGEREF _Toc242854692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4.6.2. Third-Party Software Required</w:t>
      </w:r>
      <w:r>
        <w:rPr>
          <w:noProof/>
        </w:rPr>
        <w:tab/>
      </w:r>
      <w:r w:rsidR="002819C0">
        <w:rPr>
          <w:noProof/>
        </w:rPr>
        <w:fldChar w:fldCharType="begin"/>
      </w:r>
      <w:r>
        <w:rPr>
          <w:noProof/>
        </w:rPr>
        <w:instrText xml:space="preserve"> PAGEREF _Toc242854693 \h </w:instrText>
      </w:r>
      <w:r w:rsidR="002819C0">
        <w:rPr>
          <w:noProof/>
        </w:rPr>
      </w:r>
      <w:r w:rsidR="002819C0">
        <w:rPr>
          <w:noProof/>
        </w:rPr>
        <w:fldChar w:fldCharType="separate"/>
      </w:r>
      <w:r>
        <w:rPr>
          <w:noProof/>
        </w:rPr>
        <w:t>2</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5. Internal Design</w:t>
      </w:r>
      <w:r>
        <w:rPr>
          <w:noProof/>
        </w:rPr>
        <w:tab/>
      </w:r>
      <w:r w:rsidR="002819C0">
        <w:rPr>
          <w:noProof/>
        </w:rPr>
        <w:fldChar w:fldCharType="begin"/>
      </w:r>
      <w:r>
        <w:rPr>
          <w:noProof/>
        </w:rPr>
        <w:instrText xml:space="preserve"> PAGEREF _Toc242854694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5.1.</w:t>
      </w:r>
      <w:r>
        <w:rPr>
          <w:noProof/>
        </w:rPr>
        <w:t xml:space="preserve"> Architecture</w:t>
      </w:r>
      <w:r>
        <w:rPr>
          <w:noProof/>
        </w:rPr>
        <w:tab/>
      </w:r>
      <w:r w:rsidR="002819C0">
        <w:rPr>
          <w:noProof/>
        </w:rPr>
        <w:fldChar w:fldCharType="begin"/>
      </w:r>
      <w:r>
        <w:rPr>
          <w:noProof/>
        </w:rPr>
        <w:instrText xml:space="preserve"> PAGEREF _Toc242854695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5.1.1. Desktop Client</w:t>
      </w:r>
      <w:r>
        <w:rPr>
          <w:noProof/>
        </w:rPr>
        <w:tab/>
      </w:r>
      <w:r w:rsidR="002819C0">
        <w:rPr>
          <w:noProof/>
        </w:rPr>
        <w:fldChar w:fldCharType="begin"/>
      </w:r>
      <w:r>
        <w:rPr>
          <w:noProof/>
        </w:rPr>
        <w:instrText xml:space="preserve"> PAGEREF _Toc242854696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5.1.2. Management Service</w:t>
      </w:r>
      <w:r>
        <w:rPr>
          <w:noProof/>
        </w:rPr>
        <w:tab/>
      </w:r>
      <w:r w:rsidR="002819C0">
        <w:rPr>
          <w:noProof/>
        </w:rPr>
        <w:fldChar w:fldCharType="begin"/>
      </w:r>
      <w:r>
        <w:rPr>
          <w:noProof/>
        </w:rPr>
        <w:instrText xml:space="preserve"> PAGEREF _Toc242854697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5.1.3. Collection Service</w:t>
      </w:r>
      <w:r>
        <w:rPr>
          <w:noProof/>
        </w:rPr>
        <w:tab/>
      </w:r>
      <w:r w:rsidR="002819C0">
        <w:rPr>
          <w:noProof/>
        </w:rPr>
        <w:fldChar w:fldCharType="begin"/>
      </w:r>
      <w:r>
        <w:rPr>
          <w:noProof/>
        </w:rPr>
        <w:instrText xml:space="preserve"> PAGEREF _Toc242854698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5.2.</w:t>
      </w:r>
      <w:r>
        <w:rPr>
          <w:noProof/>
        </w:rPr>
        <w:t xml:space="preserve"> Installation Issues</w:t>
      </w:r>
      <w:r>
        <w:rPr>
          <w:noProof/>
        </w:rPr>
        <w:tab/>
      </w:r>
      <w:r w:rsidR="002819C0">
        <w:rPr>
          <w:noProof/>
        </w:rPr>
        <w:fldChar w:fldCharType="begin"/>
      </w:r>
      <w:r>
        <w:rPr>
          <w:noProof/>
        </w:rPr>
        <w:instrText xml:space="preserve"> PAGEREF _Toc242854699 \h </w:instrText>
      </w:r>
      <w:r w:rsidR="002819C0">
        <w:rPr>
          <w:noProof/>
        </w:rPr>
      </w:r>
      <w:r w:rsidR="002819C0">
        <w:rPr>
          <w:noProof/>
        </w:rPr>
        <w:fldChar w:fldCharType="separate"/>
      </w:r>
      <w:r>
        <w:rPr>
          <w:noProof/>
        </w:rPr>
        <w:t>3</w:t>
      </w:r>
      <w:r w:rsidR="002819C0">
        <w:rPr>
          <w:noProof/>
        </w:rPr>
        <w:fldChar w:fldCharType="end"/>
      </w:r>
    </w:p>
    <w:p w:rsidR="009341F4" w:rsidRDefault="009341F4">
      <w:pPr>
        <w:pStyle w:val="TOC2"/>
        <w:rPr>
          <w:rFonts w:asciiTheme="minorHAnsi" w:eastAsiaTheme="minorEastAsia" w:hAnsiTheme="minorHAnsi" w:cstheme="minorBidi"/>
          <w:smallCaps w:val="0"/>
          <w:noProof/>
          <w:sz w:val="22"/>
          <w:szCs w:val="22"/>
        </w:rPr>
      </w:pPr>
      <w:r w:rsidRPr="0035161D">
        <w:rPr>
          <w:noProof/>
        </w:rPr>
        <w:t>5.3.</w:t>
      </w:r>
      <w:r>
        <w:rPr>
          <w:noProof/>
        </w:rPr>
        <w:t xml:space="preserve"> Schedule</w:t>
      </w:r>
      <w:r>
        <w:rPr>
          <w:noProof/>
        </w:rPr>
        <w:tab/>
      </w:r>
      <w:r w:rsidR="002819C0">
        <w:rPr>
          <w:noProof/>
        </w:rPr>
        <w:fldChar w:fldCharType="begin"/>
      </w:r>
      <w:r>
        <w:rPr>
          <w:noProof/>
        </w:rPr>
        <w:instrText xml:space="preserve"> PAGEREF _Toc242854700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5.3.1. Work Breakdown and Sizings</w:t>
      </w:r>
      <w:r>
        <w:rPr>
          <w:noProof/>
        </w:rPr>
        <w:tab/>
      </w:r>
      <w:r w:rsidR="002819C0">
        <w:rPr>
          <w:noProof/>
        </w:rPr>
        <w:fldChar w:fldCharType="begin"/>
      </w:r>
      <w:r>
        <w:rPr>
          <w:noProof/>
        </w:rPr>
        <w:instrText xml:space="preserve"> PAGEREF _Toc242854701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5.3.2. Areas of Risk</w:t>
      </w:r>
      <w:r>
        <w:rPr>
          <w:noProof/>
        </w:rPr>
        <w:tab/>
      </w:r>
      <w:r w:rsidR="002819C0">
        <w:rPr>
          <w:noProof/>
        </w:rPr>
        <w:fldChar w:fldCharType="begin"/>
      </w:r>
      <w:r>
        <w:rPr>
          <w:noProof/>
        </w:rPr>
        <w:instrText xml:space="preserve"> PAGEREF _Toc242854702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2819C0">
        <w:rPr>
          <w:noProof/>
        </w:rPr>
        <w:fldChar w:fldCharType="begin"/>
      </w:r>
      <w:r>
        <w:rPr>
          <w:noProof/>
        </w:rPr>
        <w:instrText xml:space="preserve"> PAGEREF _Toc242854703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3"/>
        <w:rPr>
          <w:rFonts w:asciiTheme="minorHAnsi" w:eastAsiaTheme="minorEastAsia" w:hAnsiTheme="minorHAnsi" w:cstheme="minorBidi"/>
          <w:i w:val="0"/>
          <w:noProof/>
          <w:sz w:val="22"/>
          <w:szCs w:val="22"/>
        </w:rPr>
      </w:pPr>
      <w:r>
        <w:rPr>
          <w:noProof/>
        </w:rPr>
        <w:t>6.1.1. Overview</w:t>
      </w:r>
      <w:r>
        <w:rPr>
          <w:noProof/>
        </w:rPr>
        <w:tab/>
      </w:r>
      <w:r w:rsidR="002819C0">
        <w:rPr>
          <w:noProof/>
        </w:rPr>
        <w:fldChar w:fldCharType="begin"/>
      </w:r>
      <w:r>
        <w:rPr>
          <w:noProof/>
        </w:rPr>
        <w:instrText xml:space="preserve"> PAGEREF _Toc242854704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2819C0">
        <w:rPr>
          <w:noProof/>
        </w:rPr>
        <w:fldChar w:fldCharType="begin"/>
      </w:r>
      <w:r>
        <w:rPr>
          <w:noProof/>
        </w:rPr>
        <w:instrText xml:space="preserve"> PAGEREF _Toc242854705 \h </w:instrText>
      </w:r>
      <w:r w:rsidR="002819C0">
        <w:rPr>
          <w:noProof/>
        </w:rPr>
      </w:r>
      <w:r w:rsidR="002819C0">
        <w:rPr>
          <w:noProof/>
        </w:rPr>
        <w:fldChar w:fldCharType="separate"/>
      </w:r>
      <w:r>
        <w:rPr>
          <w:noProof/>
        </w:rPr>
        <w:t>4</w:t>
      </w:r>
      <w:r w:rsidR="002819C0">
        <w:rPr>
          <w:noProof/>
        </w:rPr>
        <w:fldChar w:fldCharType="end"/>
      </w:r>
    </w:p>
    <w:p w:rsidR="009341F4" w:rsidRDefault="009341F4">
      <w:pPr>
        <w:pStyle w:val="TOC1"/>
        <w:rPr>
          <w:rFonts w:asciiTheme="minorHAnsi" w:eastAsiaTheme="minorEastAsia" w:hAnsiTheme="minorHAnsi" w:cstheme="minorBidi"/>
          <w:b w:val="0"/>
          <w:caps w:val="0"/>
          <w:noProof/>
          <w:sz w:val="22"/>
          <w:szCs w:val="22"/>
        </w:rPr>
      </w:pPr>
      <w:r>
        <w:rPr>
          <w:noProof/>
        </w:rPr>
        <w:t>8. Bibliography</w:t>
      </w:r>
      <w:r>
        <w:rPr>
          <w:noProof/>
        </w:rPr>
        <w:tab/>
      </w:r>
      <w:r w:rsidR="002819C0">
        <w:rPr>
          <w:noProof/>
        </w:rPr>
        <w:fldChar w:fldCharType="begin"/>
      </w:r>
      <w:r>
        <w:rPr>
          <w:noProof/>
        </w:rPr>
        <w:instrText xml:space="preserve"> PAGEREF _Toc242854706 \h </w:instrText>
      </w:r>
      <w:r w:rsidR="002819C0">
        <w:rPr>
          <w:noProof/>
        </w:rPr>
      </w:r>
      <w:r w:rsidR="002819C0">
        <w:rPr>
          <w:noProof/>
        </w:rPr>
        <w:fldChar w:fldCharType="separate"/>
      </w:r>
      <w:r>
        <w:rPr>
          <w:noProof/>
        </w:rPr>
        <w:t>5</w:t>
      </w:r>
      <w:r w:rsidR="002819C0">
        <w:rPr>
          <w:noProof/>
        </w:rPr>
        <w:fldChar w:fldCharType="end"/>
      </w:r>
    </w:p>
    <w:p w:rsidR="00AA220A" w:rsidRDefault="002819C0">
      <w:pPr>
        <w:sectPr w:rsidR="00AA220A" w:rsidSect="001E0764">
          <w:pgSz w:w="12240" w:h="15840" w:code="1"/>
          <w:pgMar w:top="720" w:right="1440" w:bottom="720" w:left="1440" w:header="720" w:footer="720" w:gutter="0"/>
          <w:pgNumType w:fmt="lowerRoman"/>
          <w:cols w:space="720"/>
        </w:sectPr>
      </w:pPr>
      <w:r>
        <w:fldChar w:fldCharType="end"/>
      </w:r>
    </w:p>
    <w:p w:rsidR="00AA220A" w:rsidRDefault="00AA220A">
      <w:pPr>
        <w:pStyle w:val="Heading1"/>
      </w:pPr>
      <w:bookmarkStart w:id="13" w:name="_Toc242854676"/>
      <w:bookmarkStart w:id="14" w:name="_Toc360433681"/>
      <w:bookmarkStart w:id="15" w:name="_Toc374866354"/>
      <w:bookmarkStart w:id="16" w:name="_Toc375126852"/>
      <w:bookmarkStart w:id="17" w:name="_Toc375126886"/>
      <w:bookmarkStart w:id="18" w:name="_Toc375126911"/>
      <w:bookmarkStart w:id="19" w:name="_Toc377373037"/>
      <w:bookmarkStart w:id="20" w:name="_Toc378468794"/>
      <w:bookmarkStart w:id="21" w:name="_Toc381264534"/>
      <w:r>
        <w:lastRenderedPageBreak/>
        <w:t>Requirements</w:t>
      </w:r>
      <w:bookmarkEnd w:id="13"/>
    </w:p>
    <w:p w:rsidR="00AA220A" w:rsidRDefault="00AA220A">
      <w:pPr>
        <w:pStyle w:val="Heading2"/>
      </w:pPr>
      <w:bookmarkStart w:id="22" w:name="_Toc242854677"/>
      <w:r>
        <w:t>Overview/Purpose</w:t>
      </w:r>
      <w:bookmarkEnd w:id="8"/>
      <w:bookmarkEnd w:id="9"/>
      <w:bookmarkEnd w:id="10"/>
      <w:bookmarkEnd w:id="11"/>
      <w:bookmarkEnd w:id="12"/>
      <w:bookmarkEnd w:id="14"/>
      <w:bookmarkEnd w:id="15"/>
      <w:bookmarkEnd w:id="16"/>
      <w:bookmarkEnd w:id="17"/>
      <w:bookmarkEnd w:id="18"/>
      <w:bookmarkEnd w:id="19"/>
      <w:bookmarkEnd w:id="20"/>
      <w:bookmarkEnd w:id="21"/>
      <w:bookmarkEnd w:id="22"/>
    </w:p>
    <w:p w:rsidR="00AD6338" w:rsidRDefault="009E5C79" w:rsidP="00D03F85">
      <w:pPr>
        <w:pStyle w:val="BodyText"/>
      </w:pPr>
      <w:r>
        <w:t>In response to</w:t>
      </w:r>
      <w:r w:rsidR="001A38B6">
        <w:t xml:space="preserve"> a number of customer requests, we are going to make it easy for our customers to configure the SQLdm services to run in a clust</w:t>
      </w:r>
      <w:r w:rsidR="008F5026">
        <w:t>ered environment.</w:t>
      </w:r>
    </w:p>
    <w:p w:rsidR="00AA220A" w:rsidRDefault="00AA220A">
      <w:pPr>
        <w:pStyle w:val="Heading3"/>
      </w:pPr>
      <w:bookmarkStart w:id="23" w:name="_Toc242854678"/>
      <w:r>
        <w:t>Related Customer Requests</w:t>
      </w:r>
      <w:bookmarkEnd w:id="23"/>
    </w:p>
    <w:p w:rsidR="001A38B6" w:rsidRDefault="001A38B6" w:rsidP="001A38B6">
      <w:r>
        <w:t xml:space="preserve">PR 12960  </w:t>
      </w:r>
      <w:hyperlink r:id="rId10" w:history="1">
        <w:r w:rsidRPr="001A38B6">
          <w:rPr>
            <w:rStyle w:val="Hyperlink"/>
          </w:rPr>
          <w:t>http://sqldm.hosted3.fastbugtrack.com/?page=com.other.ViewBug&amp;bugId=12960</w:t>
        </w:r>
      </w:hyperlink>
    </w:p>
    <w:p w:rsidR="001A38B6" w:rsidRPr="001A38B6" w:rsidRDefault="001A38B6" w:rsidP="001A38B6">
      <w:r w:rsidRPr="001A38B6">
        <w:t>David Brown, Navistar International Corp / International Truck &amp; Engine Co (#37834); Fabian Morales, Banco Central de Costa Rica (#39658); Teresa Ferguson, Southwest Power Pool (#44366)</w:t>
      </w:r>
      <w:r>
        <w:t>; Brian Gilles; Norton Healthcare (46035)</w:t>
      </w:r>
      <w:r w:rsidRPr="001A38B6">
        <w:t> </w:t>
      </w:r>
    </w:p>
    <w:p w:rsidR="00E774BB" w:rsidRPr="00E774BB" w:rsidRDefault="00E774BB" w:rsidP="00E774BB">
      <w:pPr>
        <w:pStyle w:val="BodyText"/>
      </w:pPr>
    </w:p>
    <w:p w:rsidR="00D03F85" w:rsidRDefault="0048574A" w:rsidP="00D03F85">
      <w:pPr>
        <w:pStyle w:val="Heading2"/>
      </w:pPr>
      <w:bookmarkStart w:id="24" w:name="_Toc242854679"/>
      <w:r>
        <w:t>Target Users</w:t>
      </w:r>
      <w:bookmarkEnd w:id="24"/>
    </w:p>
    <w:p w:rsidR="009A2FA9" w:rsidRDefault="00AD6338" w:rsidP="009A2FA9">
      <w:pPr>
        <w:pStyle w:val="BodyText"/>
      </w:pPr>
      <w:r>
        <w:t>This request has come from a number o</w:t>
      </w:r>
      <w:r w:rsidR="001A38B6">
        <w:t xml:space="preserve">f users and will be useful to any SQLdm customer utilizing </w:t>
      </w:r>
      <w:r w:rsidR="0090096F">
        <w:t xml:space="preserve">Microsoft Windows </w:t>
      </w:r>
      <w:r w:rsidR="00B90DBC">
        <w:t xml:space="preserve">Clusters for </w:t>
      </w:r>
      <w:r w:rsidR="0090096F">
        <w:t>high availability.</w:t>
      </w:r>
    </w:p>
    <w:p w:rsidR="00560299" w:rsidRDefault="00560299" w:rsidP="00560299">
      <w:pPr>
        <w:autoSpaceDE w:val="0"/>
        <w:autoSpaceDN w:val="0"/>
        <w:adjustRightInd w:val="0"/>
      </w:pPr>
    </w:p>
    <w:p w:rsidR="00AA220A" w:rsidRDefault="00AA220A" w:rsidP="009A2FA9">
      <w:pPr>
        <w:pStyle w:val="Heading2"/>
      </w:pPr>
      <w:bookmarkStart w:id="25" w:name="_Toc242854680"/>
      <w:r>
        <w:t>Feature/Function Market Requirements</w:t>
      </w:r>
      <w:bookmarkEnd w:id="25"/>
    </w:p>
    <w:p w:rsidR="000E24C5" w:rsidRDefault="00ED1DD1" w:rsidP="00F80602">
      <w:pPr>
        <w:pStyle w:val="Heading3"/>
      </w:pPr>
      <w:bookmarkStart w:id="26" w:name="_Toc242854681"/>
      <w:bookmarkStart w:id="27" w:name="_Toc360430711"/>
      <w:bookmarkStart w:id="28" w:name="_Toc360430803"/>
      <w:bookmarkStart w:id="29" w:name="_Toc360431059"/>
      <w:bookmarkStart w:id="30" w:name="_Toc360431524"/>
      <w:bookmarkStart w:id="31" w:name="_Toc360431936"/>
      <w:bookmarkStart w:id="32" w:name="_Toc360433708"/>
      <w:bookmarkStart w:id="33" w:name="_Toc374866370"/>
      <w:bookmarkStart w:id="34" w:name="_Toc375126875"/>
      <w:bookmarkStart w:id="35" w:name="_Toc375126906"/>
      <w:bookmarkStart w:id="36" w:name="_Toc375126931"/>
      <w:bookmarkStart w:id="37" w:name="_Toc377373072"/>
      <w:bookmarkStart w:id="38" w:name="_Toc378468807"/>
      <w:bookmarkStart w:id="39" w:name="_Toc381264547"/>
      <w:r>
        <w:t>Function in a Cluster</w:t>
      </w:r>
      <w:bookmarkEnd w:id="26"/>
      <w:r>
        <w:t xml:space="preserve"> </w:t>
      </w:r>
    </w:p>
    <w:p w:rsidR="006813E6" w:rsidRPr="006813E6" w:rsidRDefault="00ED1DD1" w:rsidP="006813E6">
      <w:pPr>
        <w:pStyle w:val="BodyText"/>
      </w:pPr>
      <w:r>
        <w:t>The SQLdm Services should function when the services are properly configured in a cluster environment.</w:t>
      </w:r>
    </w:p>
    <w:p w:rsidR="00AA220A" w:rsidRDefault="00AA220A">
      <w:pPr>
        <w:pStyle w:val="Heading3"/>
      </w:pPr>
      <w:bookmarkStart w:id="40" w:name="_Toc242854682"/>
      <w:r>
        <w:t>Non-Supported Functions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6813E6" w:rsidRDefault="006813E6" w:rsidP="000E24C5">
      <w:pPr>
        <w:autoSpaceDE w:val="0"/>
        <w:autoSpaceDN w:val="0"/>
        <w:adjustRightInd w:val="0"/>
      </w:pPr>
      <w:r>
        <w:t>Automating the cluster configuration.</w:t>
      </w:r>
      <w:r w:rsidR="00ED1DD1">
        <w:t xml:space="preserve">  The customer will be required to manually configure the SQLdm services to function in a cluster.</w:t>
      </w:r>
    </w:p>
    <w:p w:rsidR="006813E6" w:rsidRDefault="006813E6" w:rsidP="000E24C5">
      <w:pPr>
        <w:autoSpaceDE w:val="0"/>
        <w:autoSpaceDN w:val="0"/>
        <w:adjustRightInd w:val="0"/>
      </w:pPr>
    </w:p>
    <w:p w:rsidR="00D03F85" w:rsidRPr="009D383A" w:rsidRDefault="00D03F85" w:rsidP="00D03F85">
      <w:pPr>
        <w:pStyle w:val="Heading2"/>
      </w:pPr>
      <w:bookmarkStart w:id="41" w:name="_Toc242854683"/>
      <w:bookmarkStart w:id="42" w:name="_Toc378468801"/>
      <w:bookmarkStart w:id="43" w:name="_Toc381264541"/>
      <w:bookmarkStart w:id="44" w:name="_Toc360430704"/>
      <w:bookmarkStart w:id="45" w:name="_Toc360430796"/>
      <w:bookmarkStart w:id="46" w:name="_Toc360431052"/>
      <w:bookmarkStart w:id="47" w:name="_Toc360431516"/>
      <w:bookmarkStart w:id="48" w:name="_Toc360431928"/>
      <w:bookmarkStart w:id="49" w:name="_Toc360433700"/>
      <w:bookmarkStart w:id="50" w:name="_Toc374866368"/>
      <w:bookmarkStart w:id="51" w:name="_Toc375126866"/>
      <w:bookmarkStart w:id="52" w:name="_Toc375126897"/>
      <w:bookmarkStart w:id="53" w:name="_Toc375126922"/>
      <w:bookmarkStart w:id="54" w:name="_Toc377373058"/>
      <w:r>
        <w:t>FAQ</w:t>
      </w:r>
      <w:bookmarkEnd w:id="41"/>
    </w:p>
    <w:p w:rsidR="00AA220A" w:rsidRDefault="00672BE0" w:rsidP="009670DE">
      <w:pPr>
        <w:pStyle w:val="BodyText"/>
      </w:pPr>
      <w:r>
        <w:t>TBD</w:t>
      </w:r>
    </w:p>
    <w:p w:rsidR="009670DE" w:rsidRDefault="009670DE" w:rsidP="009670DE">
      <w:pPr>
        <w:pStyle w:val="Heading2"/>
      </w:pPr>
      <w:bookmarkStart w:id="55" w:name="_Toc242854684"/>
      <w:r>
        <w:t>Open Issues</w:t>
      </w:r>
      <w:bookmarkEnd w:id="55"/>
    </w:p>
    <w:p w:rsidR="00E136BF" w:rsidRPr="00E136BF" w:rsidRDefault="00E136BF" w:rsidP="00E136BF">
      <w:pPr>
        <w:pStyle w:val="BodyText"/>
      </w:pPr>
    </w:p>
    <w:p w:rsidR="00AA220A" w:rsidRDefault="00AA220A">
      <w:pPr>
        <w:pStyle w:val="Heading1"/>
      </w:pPr>
      <w:bookmarkStart w:id="56" w:name="_Toc242854685"/>
      <w:r>
        <w:lastRenderedPageBreak/>
        <w:t>Functional Desig</w:t>
      </w:r>
      <w:r w:rsidR="00D22D4B">
        <w:t>n</w:t>
      </w:r>
      <w:bookmarkEnd w:id="56"/>
    </w:p>
    <w:p w:rsidR="009559A3" w:rsidRDefault="0099310F" w:rsidP="0099310F">
      <w:pPr>
        <w:pStyle w:val="Heading2"/>
      </w:pPr>
      <w:bookmarkStart w:id="57" w:name="_Toc242854686"/>
      <w:r>
        <w:t>Installation and Upgrade</w:t>
      </w:r>
      <w:bookmarkStart w:id="58" w:name="_Toc375126867"/>
      <w:bookmarkStart w:id="59" w:name="_Toc375126898"/>
      <w:bookmarkStart w:id="60" w:name="_Toc375126923"/>
      <w:bookmarkStart w:id="61" w:name="_Toc377373059"/>
      <w:bookmarkEnd w:id="57"/>
    </w:p>
    <w:p w:rsidR="00AC2F65" w:rsidRDefault="006813E6" w:rsidP="00080EAE">
      <w:pPr>
        <w:pStyle w:val="BodyText"/>
      </w:pPr>
      <w:r>
        <w:t xml:space="preserve">When we detect that the user is doing a full install on a system that is a cluster node, the installer will prompt the user to autostart the services.  If the user selects no then the services will not autostart at the end of the install (also no need to start the DesktopClient) however we will configure the services as autostart in Service Control Manager.  The customer will have to manually change the services to manual when they configure the cluster.  </w:t>
      </w:r>
    </w:p>
    <w:p w:rsidR="00F67A21" w:rsidRDefault="006813E6" w:rsidP="00AC2F65">
      <w:pPr>
        <w:pStyle w:val="BodyText"/>
      </w:pPr>
      <w:r>
        <w:t>On an upgrade we will configure the services to retain the current setting for service start.  If the services were set for manual then we will not automatically start the services after the install finishes.</w:t>
      </w:r>
    </w:p>
    <w:p w:rsidR="003A64E3" w:rsidRDefault="003A64E3" w:rsidP="003A64E3">
      <w:pPr>
        <w:pStyle w:val="Heading2"/>
      </w:pPr>
      <w:bookmarkStart w:id="62" w:name="_Toc242854687"/>
      <w:bookmarkEnd w:id="42"/>
      <w:bookmarkEnd w:id="43"/>
      <w:bookmarkEnd w:id="44"/>
      <w:bookmarkEnd w:id="45"/>
      <w:bookmarkEnd w:id="46"/>
      <w:bookmarkEnd w:id="47"/>
      <w:bookmarkEnd w:id="48"/>
      <w:bookmarkEnd w:id="49"/>
      <w:bookmarkEnd w:id="50"/>
      <w:bookmarkEnd w:id="51"/>
      <w:bookmarkEnd w:id="52"/>
      <w:bookmarkEnd w:id="53"/>
      <w:bookmarkEnd w:id="54"/>
      <w:bookmarkEnd w:id="58"/>
      <w:bookmarkEnd w:id="59"/>
      <w:bookmarkEnd w:id="60"/>
      <w:bookmarkEnd w:id="61"/>
      <w:r>
        <w:t>User Interface</w:t>
      </w:r>
      <w:bookmarkEnd w:id="62"/>
    </w:p>
    <w:p w:rsidR="00AC2F65" w:rsidRDefault="00AC2F65" w:rsidP="00AC2F65">
      <w:pPr>
        <w:pStyle w:val="BodyText"/>
      </w:pPr>
      <w:r>
        <w:t>NONE</w:t>
      </w:r>
    </w:p>
    <w:p w:rsidR="00AC2F65" w:rsidRDefault="00AC2F65" w:rsidP="00AC2F65">
      <w:pPr>
        <w:pStyle w:val="Heading2"/>
      </w:pPr>
      <w:bookmarkStart w:id="63" w:name="_Toc242854688"/>
      <w:r>
        <w:t>Configuration</w:t>
      </w:r>
      <w:bookmarkEnd w:id="63"/>
    </w:p>
    <w:p w:rsidR="00AC2F65" w:rsidRDefault="00AC2F65" w:rsidP="00AC2F65">
      <w:pPr>
        <w:pStyle w:val="BodyText"/>
      </w:pPr>
      <w:r>
        <w:t>To allowed service state information to move with the active node the services should allow the location of the data directory to be configured.  We will allow data directory to be specified in the registry.  Cluster services can be configured to replicate the registry setting across all cluster nodes so the user only has to configure this in one place.  We have had requests to allow configuration of the data directory before so we are also going to allow you to configure the location in the service config files.  If the location is set in both the registry and the config file then the registry wins.  If not set then the services will operate as before.</w:t>
      </w:r>
    </w:p>
    <w:p w:rsidR="00AA220A" w:rsidRDefault="00AA220A" w:rsidP="003A64E3">
      <w:pPr>
        <w:pStyle w:val="Heading2"/>
      </w:pPr>
      <w:bookmarkStart w:id="64" w:name="_Toc242854689"/>
      <w:r>
        <w:t>Permissions</w:t>
      </w:r>
      <w:bookmarkEnd w:id="64"/>
    </w:p>
    <w:p w:rsidR="00AA220A" w:rsidRDefault="005C353D">
      <w:pPr>
        <w:pStyle w:val="BodyText"/>
      </w:pPr>
      <w:r>
        <w:t>No special considerations</w:t>
      </w:r>
    </w:p>
    <w:p w:rsidR="00AA220A" w:rsidRDefault="00AA220A">
      <w:pPr>
        <w:pStyle w:val="Heading2"/>
      </w:pPr>
      <w:bookmarkStart w:id="65" w:name="_Toc242854690"/>
      <w:r>
        <w:t>Licensing Issues</w:t>
      </w:r>
      <w:bookmarkEnd w:id="65"/>
    </w:p>
    <w:p w:rsidR="00AA220A" w:rsidRDefault="00080EAE">
      <w:pPr>
        <w:pStyle w:val="BodyText"/>
      </w:pPr>
      <w:r>
        <w:t>No special considerations</w:t>
      </w:r>
    </w:p>
    <w:p w:rsidR="00AA220A" w:rsidRDefault="00AA220A">
      <w:pPr>
        <w:pStyle w:val="Heading2"/>
      </w:pPr>
      <w:bookmarkStart w:id="66" w:name="_Toc242854691"/>
      <w:r>
        <w:t>Dependencies</w:t>
      </w:r>
      <w:bookmarkEnd w:id="66"/>
    </w:p>
    <w:p w:rsidR="00AA220A" w:rsidRDefault="00AA220A">
      <w:pPr>
        <w:pStyle w:val="Heading3"/>
      </w:pPr>
      <w:bookmarkStart w:id="67" w:name="_Toc242854692"/>
      <w:r>
        <w:t xml:space="preserve">Dependencies on </w:t>
      </w:r>
      <w:r w:rsidR="009670DE">
        <w:t>Idera Sof</w:t>
      </w:r>
      <w:r>
        <w:t>tware</w:t>
      </w:r>
      <w:bookmarkEnd w:id="67"/>
    </w:p>
    <w:p w:rsidR="00AA220A" w:rsidRDefault="00080EAE" w:rsidP="00ED4834">
      <w:pPr>
        <w:pStyle w:val="BodyText"/>
      </w:pPr>
      <w:r>
        <w:t>No special considerations.</w:t>
      </w:r>
    </w:p>
    <w:p w:rsidR="00AA220A" w:rsidRDefault="00AA220A">
      <w:pPr>
        <w:pStyle w:val="Heading3"/>
      </w:pPr>
      <w:bookmarkStart w:id="68" w:name="_Toc242854693"/>
      <w:r>
        <w:t xml:space="preserve">Third-Party Software </w:t>
      </w:r>
      <w:r w:rsidR="00ED4834">
        <w:t>Required</w:t>
      </w:r>
      <w:bookmarkEnd w:id="68"/>
    </w:p>
    <w:p w:rsidR="00AA220A" w:rsidRDefault="00080EAE" w:rsidP="00080EAE">
      <w:pPr>
        <w:pStyle w:val="BodyText"/>
      </w:pPr>
      <w:r>
        <w:t>No special considerations</w:t>
      </w:r>
    </w:p>
    <w:p w:rsidR="00AA220A" w:rsidRDefault="00AA220A">
      <w:pPr>
        <w:pStyle w:val="BodyText"/>
      </w:pPr>
    </w:p>
    <w:p w:rsidR="00AA220A" w:rsidRDefault="00AA220A">
      <w:pPr>
        <w:pStyle w:val="Heading1"/>
      </w:pPr>
      <w:bookmarkStart w:id="69" w:name="_Toc242854694"/>
      <w:r>
        <w:lastRenderedPageBreak/>
        <w:t>Internal Design</w:t>
      </w:r>
      <w:bookmarkEnd w:id="69"/>
      <w:r>
        <w:rPr>
          <w:rStyle w:val="CommentReference"/>
          <w:rFonts w:ascii="Times New Roman" w:hAnsi="Times New Roman"/>
          <w:b w:val="0"/>
          <w:i w:val="0"/>
          <w:vanish/>
        </w:rPr>
        <w:t xml:space="preserve"> </w:t>
      </w:r>
    </w:p>
    <w:p w:rsidR="00AA220A" w:rsidRDefault="00AA220A">
      <w:pPr>
        <w:pStyle w:val="Heading2"/>
      </w:pPr>
      <w:bookmarkStart w:id="70" w:name="_Toc242854695"/>
      <w:r>
        <w:t>Architecture</w:t>
      </w:r>
      <w:bookmarkEnd w:id="70"/>
    </w:p>
    <w:p w:rsidR="00080EAE" w:rsidRDefault="00265126" w:rsidP="00080EAE">
      <w:pPr>
        <w:pStyle w:val="Heading3"/>
      </w:pPr>
      <w:bookmarkStart w:id="71" w:name="_Toc242854696"/>
      <w:r>
        <w:t>Desktop Client</w:t>
      </w:r>
      <w:bookmarkEnd w:id="71"/>
    </w:p>
    <w:p w:rsidR="00180399" w:rsidRPr="00180399" w:rsidRDefault="00207B74" w:rsidP="00180399">
      <w:pPr>
        <w:pStyle w:val="BodyText"/>
      </w:pPr>
      <w:r>
        <w:t>No changes</w:t>
      </w:r>
    </w:p>
    <w:p w:rsidR="00265126" w:rsidRDefault="00207B74" w:rsidP="00265126">
      <w:pPr>
        <w:pStyle w:val="Heading3"/>
      </w:pPr>
      <w:bookmarkStart w:id="72" w:name="_Toc242854697"/>
      <w:r>
        <w:t>Management</w:t>
      </w:r>
      <w:r w:rsidR="00265126">
        <w:t xml:space="preserve"> Service</w:t>
      </w:r>
      <w:bookmarkEnd w:id="72"/>
    </w:p>
    <w:p w:rsidR="001F64A6" w:rsidRDefault="00207B74" w:rsidP="001F64A6">
      <w:pPr>
        <w:pStyle w:val="BodyText"/>
      </w:pPr>
      <w:r>
        <w:t xml:space="preserve">The Management Service </w:t>
      </w:r>
      <w:r w:rsidR="001F64A6">
        <w:t>configure its data directory by checking for a configured value in the following order:</w:t>
      </w:r>
    </w:p>
    <w:p w:rsidR="001F64A6" w:rsidRDefault="001F64A6" w:rsidP="001F64A6">
      <w:pPr>
        <w:pStyle w:val="BodyText"/>
        <w:numPr>
          <w:ilvl w:val="0"/>
          <w:numId w:val="21"/>
        </w:numPr>
      </w:pPr>
      <w:r>
        <w:t xml:space="preserve">registry location: HKEY_LOCAL_MACHINE\SOFTWARE\Idera\SQLdm for a DataPath value.  </w:t>
      </w:r>
    </w:p>
    <w:p w:rsidR="001F64A6" w:rsidRDefault="001F64A6" w:rsidP="001F64A6">
      <w:pPr>
        <w:pStyle w:val="BodyText"/>
        <w:numPr>
          <w:ilvl w:val="0"/>
          <w:numId w:val="21"/>
        </w:numPr>
      </w:pPr>
      <w:r>
        <w:t>The “dataDirectory” attribute in the application config file</w:t>
      </w:r>
    </w:p>
    <w:p w:rsidR="001F64A6" w:rsidRDefault="001F64A6" w:rsidP="001F64A6">
      <w:pPr>
        <w:pStyle w:val="BodyText"/>
      </w:pPr>
      <w:r>
        <w:t xml:space="preserve">If a configured value does not exist it will use the product installation directory. </w:t>
      </w:r>
    </w:p>
    <w:p w:rsidR="001F64A6" w:rsidRDefault="001F64A6" w:rsidP="001F64A6">
      <w:pPr>
        <w:pStyle w:val="BodyText"/>
      </w:pPr>
      <w:r>
        <w:t>So that multiple Management Services can exist on the same machine in the future, the instance name (currently Default) will be added to the configured path.</w:t>
      </w:r>
    </w:p>
    <w:p w:rsidR="001F64A6" w:rsidRDefault="001F64A6" w:rsidP="001F64A6">
      <w:pPr>
        <w:pStyle w:val="BodyText"/>
      </w:pPr>
      <w:r>
        <w:t>So that both the Management and Collection services can keep their stuff separated ManagementService will be added to the configured path.</w:t>
      </w:r>
    </w:p>
    <w:p w:rsidR="00265126" w:rsidRDefault="00463310" w:rsidP="00265126">
      <w:pPr>
        <w:pStyle w:val="Heading3"/>
      </w:pPr>
      <w:bookmarkStart w:id="73" w:name="_Toc242854698"/>
      <w:r>
        <w:t>Collection Service</w:t>
      </w:r>
      <w:bookmarkEnd w:id="73"/>
    </w:p>
    <w:p w:rsidR="00463310" w:rsidRDefault="00463310" w:rsidP="00463310">
      <w:pPr>
        <w:pStyle w:val="BodyText"/>
      </w:pPr>
      <w:r>
        <w:t>The Collection Service configure its data directory by checking for a configured value in the following order:</w:t>
      </w:r>
    </w:p>
    <w:p w:rsidR="00463310" w:rsidRDefault="00463310" w:rsidP="00463310">
      <w:pPr>
        <w:pStyle w:val="BodyText"/>
        <w:numPr>
          <w:ilvl w:val="0"/>
          <w:numId w:val="22"/>
        </w:numPr>
      </w:pPr>
      <w:r>
        <w:t xml:space="preserve">registry location: HKEY_LOCAL_MACHINE\SOFTWARE\Idera\SQLdm for a DataPath value.  </w:t>
      </w:r>
    </w:p>
    <w:p w:rsidR="00463310" w:rsidRDefault="00463310" w:rsidP="00463310">
      <w:pPr>
        <w:pStyle w:val="BodyText"/>
        <w:numPr>
          <w:ilvl w:val="0"/>
          <w:numId w:val="22"/>
        </w:numPr>
      </w:pPr>
      <w:r>
        <w:t>The “dataDirectory” attribute in the application config file</w:t>
      </w:r>
    </w:p>
    <w:p w:rsidR="00463310" w:rsidRDefault="00463310" w:rsidP="00463310">
      <w:pPr>
        <w:pStyle w:val="BodyText"/>
      </w:pPr>
      <w:r>
        <w:t xml:space="preserve">If a configured value does not exist it will use the product installation directory. </w:t>
      </w:r>
    </w:p>
    <w:p w:rsidR="00463310" w:rsidRDefault="00463310" w:rsidP="00463310">
      <w:pPr>
        <w:pStyle w:val="BodyText"/>
      </w:pPr>
      <w:r>
        <w:t>So that multiple Collection Services can exist on the same machine in the future, the instance name (currently Default) will be added to the configured path.</w:t>
      </w:r>
    </w:p>
    <w:p w:rsidR="00463310" w:rsidRPr="007428C0" w:rsidRDefault="00463310" w:rsidP="007D2848">
      <w:pPr>
        <w:pStyle w:val="BodyText"/>
      </w:pPr>
      <w:r>
        <w:t>So that both the Management and Collection services can keep their stuff separated CollectionService will be added to the configured path.</w:t>
      </w:r>
    </w:p>
    <w:p w:rsidR="00AA220A" w:rsidRDefault="00AA220A">
      <w:pPr>
        <w:pStyle w:val="Heading2"/>
      </w:pPr>
      <w:bookmarkStart w:id="74" w:name="_Toc242854699"/>
      <w:r>
        <w:t>Installation</w:t>
      </w:r>
      <w:r w:rsidR="009670DE">
        <w:t xml:space="preserve"> Issues</w:t>
      </w:r>
      <w:bookmarkEnd w:id="74"/>
    </w:p>
    <w:p w:rsidR="00463310" w:rsidRDefault="007F1C4B" w:rsidP="00463310">
      <w:pPr>
        <w:pStyle w:val="BodyText"/>
      </w:pPr>
      <w:bookmarkStart w:id="75" w:name="_Toc360430713"/>
      <w:bookmarkStart w:id="76" w:name="_Toc360430805"/>
      <w:bookmarkStart w:id="77" w:name="_Toc360431061"/>
      <w:bookmarkStart w:id="78" w:name="_Toc360431526"/>
      <w:bookmarkStart w:id="79" w:name="_Toc360431938"/>
      <w:bookmarkStart w:id="80" w:name="_Toc360433710"/>
      <w:bookmarkStart w:id="81" w:name="_Toc374866372"/>
      <w:bookmarkStart w:id="82" w:name="_Toc375126877"/>
      <w:bookmarkStart w:id="83" w:name="_Toc375126908"/>
      <w:bookmarkStart w:id="84" w:name="_Toc375126933"/>
      <w:bookmarkStart w:id="85" w:name="_Toc377373074"/>
      <w:bookmarkStart w:id="86" w:name="_Toc378468809"/>
      <w:bookmarkStart w:id="87" w:name="_Toc381264549"/>
      <w:r>
        <w:t>The following functions will need to be added to the SQLdm Custom Actions dll used by the installer</w:t>
      </w:r>
      <w:r w:rsidR="00463310">
        <w:t>.</w:t>
      </w:r>
    </w:p>
    <w:p w:rsidR="00463310" w:rsidRDefault="00463310" w:rsidP="00463310">
      <w:pPr>
        <w:pStyle w:val="BodyText"/>
      </w:pPr>
      <w:r>
        <w:t>Determine if the install machine is a clustered node</w:t>
      </w:r>
    </w:p>
    <w:p w:rsidR="00463310" w:rsidRDefault="00463310" w:rsidP="00463310">
      <w:pPr>
        <w:pStyle w:val="BodyText"/>
      </w:pPr>
      <w:r>
        <w:t>Determine the current service autostart setting if there isn’t an InstallScript function for doing this</w:t>
      </w:r>
    </w:p>
    <w:p w:rsidR="00463310" w:rsidRDefault="00463310" w:rsidP="00463310">
      <w:pPr>
        <w:pStyle w:val="BodyText"/>
      </w:pPr>
      <w:r>
        <w:t>On install, if the services are being installed and the machine is a cluster node, we need to ask the user if they want to autostart the services at the end of the install.  If so we should not start the services automatically and if the desktop client is being installed we should not start the desktop client.</w:t>
      </w:r>
    </w:p>
    <w:p w:rsidR="00463310" w:rsidRDefault="00463310" w:rsidP="00463310">
      <w:pPr>
        <w:pStyle w:val="BodyText"/>
      </w:pPr>
      <w:r>
        <w:t>On an upgrade of the services we should retrieve the current autostart setting for the services and use this value when reconfiguring the services.  If the autostart setting is not auto then we should not automatically start the services.</w:t>
      </w:r>
    </w:p>
    <w:p w:rsidR="00463310" w:rsidRDefault="00463310" w:rsidP="00463310">
      <w:pPr>
        <w:pStyle w:val="BodyText"/>
      </w:pPr>
    </w:p>
    <w:p w:rsidR="00463310" w:rsidRDefault="00463310" w:rsidP="00463310">
      <w:pPr>
        <w:pStyle w:val="BodyText"/>
      </w:pPr>
    </w:p>
    <w:p w:rsidR="00AA220A" w:rsidRDefault="00AA220A">
      <w:pPr>
        <w:pStyle w:val="Heading2"/>
      </w:pPr>
      <w:bookmarkStart w:id="88" w:name="_Toc242854700"/>
      <w:r>
        <w:t>Schedule</w:t>
      </w:r>
      <w:bookmarkEnd w:id="88"/>
    </w:p>
    <w:p w:rsidR="00AA220A" w:rsidRDefault="00AA220A">
      <w:pPr>
        <w:pStyle w:val="Heading3"/>
      </w:pPr>
      <w:bookmarkStart w:id="89" w:name="_Toc242854701"/>
      <w:r>
        <w:t>Work Breakdown and Sizings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rsidTr="00463310">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p>
        </w:tc>
      </w:tr>
      <w:tr w:rsidR="009559A3" w:rsidTr="00463310">
        <w:tc>
          <w:tcPr>
            <w:tcW w:w="6721" w:type="dxa"/>
          </w:tcPr>
          <w:p w:rsidR="009559A3" w:rsidRDefault="00DC3587" w:rsidP="00AA220A">
            <w:pPr>
              <w:pStyle w:val="BodyText"/>
            </w:pPr>
            <w:r>
              <w:t>Collection Service</w:t>
            </w:r>
          </w:p>
        </w:tc>
        <w:tc>
          <w:tcPr>
            <w:tcW w:w="1386" w:type="dxa"/>
          </w:tcPr>
          <w:p w:rsidR="009559A3" w:rsidRDefault="00180399" w:rsidP="00AA220A">
            <w:pPr>
              <w:pStyle w:val="BodyText"/>
            </w:pPr>
            <w:r>
              <w:t>Kurt</w:t>
            </w:r>
          </w:p>
        </w:tc>
        <w:tc>
          <w:tcPr>
            <w:tcW w:w="1469" w:type="dxa"/>
          </w:tcPr>
          <w:p w:rsidR="009559A3" w:rsidRDefault="007D2848" w:rsidP="00AA220A">
            <w:pPr>
              <w:pStyle w:val="BodyText"/>
            </w:pPr>
            <w:r>
              <w:t>.5</w:t>
            </w:r>
            <w:r w:rsidR="00DC3587">
              <w:t xml:space="preserve"> days</w:t>
            </w:r>
          </w:p>
        </w:tc>
      </w:tr>
      <w:tr w:rsidR="009559A3" w:rsidTr="00463310">
        <w:tc>
          <w:tcPr>
            <w:tcW w:w="6721" w:type="dxa"/>
          </w:tcPr>
          <w:p w:rsidR="009559A3" w:rsidRDefault="007D2848" w:rsidP="00AA220A">
            <w:pPr>
              <w:pStyle w:val="BodyText"/>
            </w:pPr>
            <w:r>
              <w:t>Management Service</w:t>
            </w:r>
          </w:p>
        </w:tc>
        <w:tc>
          <w:tcPr>
            <w:tcW w:w="1386" w:type="dxa"/>
          </w:tcPr>
          <w:p w:rsidR="009559A3" w:rsidRDefault="00180399" w:rsidP="00AA220A">
            <w:pPr>
              <w:pStyle w:val="BodyText"/>
            </w:pPr>
            <w:r>
              <w:t>Kurt</w:t>
            </w:r>
          </w:p>
        </w:tc>
        <w:tc>
          <w:tcPr>
            <w:tcW w:w="1469" w:type="dxa"/>
          </w:tcPr>
          <w:p w:rsidR="009559A3" w:rsidRDefault="007D2848" w:rsidP="00AA220A">
            <w:pPr>
              <w:pStyle w:val="BodyText"/>
            </w:pPr>
            <w:r>
              <w:t>.5</w:t>
            </w:r>
            <w:r w:rsidR="00DC3587">
              <w:t xml:space="preserve"> day</w:t>
            </w:r>
          </w:p>
        </w:tc>
      </w:tr>
      <w:tr w:rsidR="009559A3" w:rsidTr="00463310">
        <w:tc>
          <w:tcPr>
            <w:tcW w:w="6721" w:type="dxa"/>
          </w:tcPr>
          <w:p w:rsidR="009559A3" w:rsidRDefault="00494968" w:rsidP="00AA220A">
            <w:pPr>
              <w:pStyle w:val="BodyText"/>
            </w:pPr>
            <w:r>
              <w:t>Installer</w:t>
            </w:r>
          </w:p>
        </w:tc>
        <w:tc>
          <w:tcPr>
            <w:tcW w:w="1386" w:type="dxa"/>
          </w:tcPr>
          <w:p w:rsidR="009559A3" w:rsidRDefault="007D2848" w:rsidP="00AA220A">
            <w:pPr>
              <w:pStyle w:val="BodyText"/>
            </w:pPr>
            <w:r>
              <w:t>Trent</w:t>
            </w:r>
          </w:p>
        </w:tc>
        <w:tc>
          <w:tcPr>
            <w:tcW w:w="1469" w:type="dxa"/>
          </w:tcPr>
          <w:p w:rsidR="009559A3" w:rsidRDefault="00DC3587" w:rsidP="00AA220A">
            <w:pPr>
              <w:pStyle w:val="BodyText"/>
            </w:pPr>
            <w:r>
              <w:t>1 day</w:t>
            </w:r>
          </w:p>
        </w:tc>
      </w:tr>
      <w:tr w:rsidR="009559A3" w:rsidTr="00463310">
        <w:tc>
          <w:tcPr>
            <w:tcW w:w="6721" w:type="dxa"/>
          </w:tcPr>
          <w:p w:rsidR="009559A3" w:rsidRDefault="009559A3" w:rsidP="00AA220A">
            <w:pPr>
              <w:pStyle w:val="BodyText"/>
            </w:pPr>
            <w:r>
              <w:t>Unit and Integration Testing</w:t>
            </w:r>
          </w:p>
        </w:tc>
        <w:tc>
          <w:tcPr>
            <w:tcW w:w="1386" w:type="dxa"/>
          </w:tcPr>
          <w:p w:rsidR="009559A3" w:rsidRDefault="00180399" w:rsidP="00AA220A">
            <w:pPr>
              <w:pStyle w:val="BodyText"/>
            </w:pPr>
            <w:r>
              <w:t>Kurt</w:t>
            </w:r>
          </w:p>
        </w:tc>
        <w:tc>
          <w:tcPr>
            <w:tcW w:w="1469" w:type="dxa"/>
          </w:tcPr>
          <w:p w:rsidR="009559A3" w:rsidRDefault="007D2848" w:rsidP="00AA220A">
            <w:pPr>
              <w:pStyle w:val="BodyText"/>
            </w:pPr>
            <w:r>
              <w:t>.5</w:t>
            </w:r>
            <w:r w:rsidR="00DC3587">
              <w:t xml:space="preserve"> days</w:t>
            </w:r>
          </w:p>
        </w:tc>
      </w:tr>
      <w:tr w:rsidR="009559A3" w:rsidTr="00463310">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4459F1" w:rsidP="00DC3587">
            <w:pPr>
              <w:pStyle w:val="BodyText"/>
              <w:rPr>
                <w:b/>
                <w:bCs/>
                <w:sz w:val="24"/>
              </w:rPr>
            </w:pPr>
            <w:r>
              <w:rPr>
                <w:b/>
                <w:bCs/>
                <w:sz w:val="24"/>
              </w:rPr>
              <w:t>2.5</w:t>
            </w:r>
            <w:r w:rsidR="00DC3587">
              <w:rPr>
                <w:b/>
                <w:bCs/>
                <w:sz w:val="24"/>
              </w:rPr>
              <w:t xml:space="preserve"> days</w:t>
            </w:r>
          </w:p>
        </w:tc>
      </w:tr>
    </w:tbl>
    <w:p w:rsidR="00AA220A" w:rsidRDefault="00AA220A">
      <w:pPr>
        <w:pStyle w:val="BodyText"/>
      </w:pPr>
    </w:p>
    <w:p w:rsidR="00AA220A" w:rsidRDefault="00AA220A">
      <w:pPr>
        <w:pStyle w:val="Heading3"/>
      </w:pPr>
      <w:bookmarkStart w:id="90" w:name="_Toc242854702"/>
      <w:r>
        <w:t>Areas of Risk</w:t>
      </w:r>
      <w:bookmarkEnd w:id="75"/>
      <w:bookmarkEnd w:id="76"/>
      <w:bookmarkEnd w:id="77"/>
      <w:bookmarkEnd w:id="78"/>
      <w:bookmarkEnd w:id="79"/>
      <w:bookmarkEnd w:id="80"/>
      <w:bookmarkEnd w:id="81"/>
      <w:bookmarkEnd w:id="82"/>
      <w:bookmarkEnd w:id="83"/>
      <w:bookmarkEnd w:id="84"/>
      <w:bookmarkEnd w:id="85"/>
      <w:bookmarkEnd w:id="86"/>
      <w:bookmarkEnd w:id="87"/>
      <w:bookmarkEnd w:id="90"/>
    </w:p>
    <w:p w:rsidR="00DC3587" w:rsidRDefault="00DC3587" w:rsidP="00DC3587">
      <w:pPr>
        <w:pStyle w:val="CommentText"/>
        <w:numPr>
          <w:ilvl w:val="0"/>
          <w:numId w:val="13"/>
        </w:numPr>
      </w:pPr>
      <w:bookmarkStart w:id="91" w:name="_Toc377373075"/>
    </w:p>
    <w:p w:rsidR="00AA220A" w:rsidRDefault="00AA220A">
      <w:pPr>
        <w:pStyle w:val="Heading1"/>
      </w:pPr>
      <w:bookmarkStart w:id="92" w:name="_Toc242854703"/>
      <w:bookmarkEnd w:id="91"/>
      <w:r>
        <w:t>Quality Assurance Considerations</w:t>
      </w:r>
      <w:bookmarkEnd w:id="92"/>
      <w:r>
        <w:rPr>
          <w:rStyle w:val="CommentReference"/>
        </w:rPr>
        <w:t xml:space="preserve"> </w:t>
      </w:r>
    </w:p>
    <w:p w:rsidR="009670DE" w:rsidRDefault="009670DE" w:rsidP="009670DE">
      <w:pPr>
        <w:pStyle w:val="Heading3"/>
      </w:pPr>
      <w:bookmarkStart w:id="93" w:name="_Toc242854704"/>
      <w:r>
        <w:t>Overview</w:t>
      </w:r>
      <w:bookmarkEnd w:id="93"/>
    </w:p>
    <w:p w:rsidR="009559A3" w:rsidRDefault="007D2848" w:rsidP="009559A3">
      <w:pPr>
        <w:pStyle w:val="BodyText"/>
        <w:numPr>
          <w:ilvl w:val="0"/>
          <w:numId w:val="16"/>
        </w:numPr>
      </w:pPr>
      <w:r>
        <w:t>Make sure to test with service accounts that have limited authority.</w:t>
      </w:r>
    </w:p>
    <w:p w:rsidR="00AA220A" w:rsidRDefault="00AA220A">
      <w:pPr>
        <w:pStyle w:val="Heading1"/>
      </w:pPr>
      <w:bookmarkStart w:id="94" w:name="_Toc242854705"/>
      <w:r>
        <w:t>Documentation</w:t>
      </w:r>
      <w:r w:rsidR="009559A3">
        <w:t xml:space="preserve"> Considerations</w:t>
      </w:r>
      <w:bookmarkEnd w:id="94"/>
    </w:p>
    <w:p w:rsidR="00AA220A" w:rsidRDefault="004459F1" w:rsidP="009559A3">
      <w:pPr>
        <w:pStyle w:val="BodyText"/>
      </w:pPr>
      <w:r>
        <w:t>We will need to fully document the steps to properly install the SQLdm services in a cluster.</w:t>
      </w:r>
    </w:p>
    <w:p w:rsidR="004459F1" w:rsidRDefault="004459F1" w:rsidP="004459F1">
      <w:pPr>
        <w:pStyle w:val="BodyText"/>
        <w:numPr>
          <w:ilvl w:val="0"/>
          <w:numId w:val="23"/>
        </w:numPr>
      </w:pPr>
      <w:r>
        <w:t>Select the cluster nodes to host the SQLdm services.</w:t>
      </w:r>
    </w:p>
    <w:p w:rsidR="004459F1" w:rsidRDefault="004459F1" w:rsidP="004459F1">
      <w:pPr>
        <w:pStyle w:val="BodyText"/>
        <w:numPr>
          <w:ilvl w:val="0"/>
          <w:numId w:val="23"/>
        </w:numPr>
      </w:pPr>
      <w:r>
        <w:t xml:space="preserve">Install the SQLdm services on one of the nodes.  This step will install the SQLdm Repository.  </w:t>
      </w:r>
    </w:p>
    <w:p w:rsidR="004459F1" w:rsidRDefault="004459F1" w:rsidP="004459F1">
      <w:pPr>
        <w:pStyle w:val="BodyText"/>
        <w:numPr>
          <w:ilvl w:val="0"/>
          <w:numId w:val="23"/>
        </w:numPr>
      </w:pPr>
      <w:r>
        <w:t>Make sure the SQLdm Management service is stopped and that the autostart setting is set to Manual</w:t>
      </w:r>
    </w:p>
    <w:p w:rsidR="004459F1" w:rsidRDefault="004459F1" w:rsidP="004459F1">
      <w:pPr>
        <w:pStyle w:val="BodyText"/>
        <w:numPr>
          <w:ilvl w:val="0"/>
          <w:numId w:val="23"/>
        </w:numPr>
      </w:pPr>
      <w:r>
        <w:t>Make sure the SQLdm Collection service is stopped and that the autostart setting is set to Manual</w:t>
      </w:r>
    </w:p>
    <w:p w:rsidR="004459F1" w:rsidRDefault="004459F1" w:rsidP="004459F1">
      <w:pPr>
        <w:pStyle w:val="BodyText"/>
        <w:numPr>
          <w:ilvl w:val="0"/>
          <w:numId w:val="23"/>
        </w:numPr>
      </w:pPr>
      <w:r>
        <w:t>Repeat steps 2-4 on each of the failover nodes.  Make sure to specify the same location for the SQLdm Repository.</w:t>
      </w:r>
    </w:p>
    <w:p w:rsidR="00B85743" w:rsidRDefault="00B85743" w:rsidP="004459F1">
      <w:pPr>
        <w:pStyle w:val="BodyText"/>
        <w:numPr>
          <w:ilvl w:val="0"/>
          <w:numId w:val="23"/>
        </w:numPr>
      </w:pPr>
      <w:r>
        <w:t xml:space="preserve">Select a Disk that is configured in the Cluster Resource Group and create a directory on that disk that will be used to hold local data for the services.  </w:t>
      </w:r>
    </w:p>
    <w:p w:rsidR="00B85743" w:rsidRDefault="00B85743" w:rsidP="004459F1">
      <w:pPr>
        <w:pStyle w:val="BodyText"/>
        <w:numPr>
          <w:ilvl w:val="0"/>
          <w:numId w:val="23"/>
        </w:numPr>
      </w:pPr>
      <w:r>
        <w:t>On the primary node add the full path to the data path to the registry value DataPath under HKEY_LOCAL_MACHINE\SOFTWARE\Idera\SQLdm\Default</w:t>
      </w:r>
    </w:p>
    <w:p w:rsidR="004459F1" w:rsidRDefault="004459F1" w:rsidP="004459F1">
      <w:pPr>
        <w:pStyle w:val="BodyText"/>
        <w:numPr>
          <w:ilvl w:val="0"/>
          <w:numId w:val="23"/>
        </w:numPr>
      </w:pPr>
      <w:r>
        <w:t>Select a Cluster Resource Group to define the SQLdm resources in.</w:t>
      </w:r>
    </w:p>
    <w:p w:rsidR="004459F1" w:rsidRDefault="004459F1" w:rsidP="004459F1">
      <w:pPr>
        <w:pStyle w:val="BodyText"/>
        <w:numPr>
          <w:ilvl w:val="0"/>
          <w:numId w:val="23"/>
        </w:numPr>
      </w:pPr>
      <w:r>
        <w:lastRenderedPageBreak/>
        <w:t xml:space="preserve">Create a Network Name resource for the </w:t>
      </w:r>
      <w:r w:rsidR="00B85743">
        <w:t xml:space="preserve">SQLdm Services.  If there is already an existing Network Name in the Cluster Resource Group then you can skip this step.  </w:t>
      </w:r>
    </w:p>
    <w:p w:rsidR="00B85743" w:rsidRDefault="00B85743" w:rsidP="00B85743">
      <w:pPr>
        <w:pStyle w:val="BodyText"/>
        <w:numPr>
          <w:ilvl w:val="0"/>
          <w:numId w:val="24"/>
        </w:numPr>
      </w:pPr>
      <w:r>
        <w:t>Create an IP Address resource that will map to the Network Name</w:t>
      </w:r>
    </w:p>
    <w:p w:rsidR="00B85743" w:rsidRDefault="00B85743" w:rsidP="00B85743">
      <w:pPr>
        <w:pStyle w:val="BodyText"/>
        <w:numPr>
          <w:ilvl w:val="0"/>
          <w:numId w:val="24"/>
        </w:numPr>
      </w:pPr>
      <w:r>
        <w:t>Create the Network Name resource and add the IP Address as a dependency</w:t>
      </w:r>
    </w:p>
    <w:p w:rsidR="004459F1" w:rsidRDefault="00B85743" w:rsidP="004459F1">
      <w:pPr>
        <w:pStyle w:val="BodyText"/>
        <w:numPr>
          <w:ilvl w:val="0"/>
          <w:numId w:val="23"/>
        </w:numPr>
      </w:pPr>
      <w:r>
        <w:t xml:space="preserve">Create a </w:t>
      </w:r>
      <w:r w:rsidR="00EF1587">
        <w:t xml:space="preserve">Generic </w:t>
      </w:r>
      <w:r>
        <w:t>Service resource for the SQLdm Management Service.</w:t>
      </w:r>
    </w:p>
    <w:p w:rsidR="00B85743" w:rsidRDefault="00B85743" w:rsidP="00B85743">
      <w:pPr>
        <w:pStyle w:val="BodyText"/>
        <w:numPr>
          <w:ilvl w:val="0"/>
          <w:numId w:val="25"/>
        </w:numPr>
      </w:pPr>
      <w:r>
        <w:t>Add the Disk for the shared data as a dependency</w:t>
      </w:r>
    </w:p>
    <w:p w:rsidR="00B85743" w:rsidRDefault="00B85743" w:rsidP="00ED4834">
      <w:pPr>
        <w:pStyle w:val="BodyText"/>
        <w:numPr>
          <w:ilvl w:val="0"/>
          <w:numId w:val="25"/>
        </w:numPr>
      </w:pPr>
      <w:r>
        <w:t>Add the Network Name as a dependency</w:t>
      </w:r>
    </w:p>
    <w:p w:rsidR="00EF1587" w:rsidRDefault="00EF1587" w:rsidP="00ED4834">
      <w:pPr>
        <w:pStyle w:val="BodyText"/>
        <w:numPr>
          <w:ilvl w:val="0"/>
          <w:numId w:val="25"/>
        </w:numPr>
      </w:pPr>
      <w:r>
        <w:t xml:space="preserve">Specify ‘SQLdmManagementService$Default’ as the name of the service to start </w:t>
      </w:r>
    </w:p>
    <w:p w:rsidR="00EF1587" w:rsidRDefault="00EF1587" w:rsidP="00EF1587">
      <w:pPr>
        <w:pStyle w:val="BodyText"/>
        <w:numPr>
          <w:ilvl w:val="0"/>
          <w:numId w:val="23"/>
        </w:numPr>
      </w:pPr>
      <w:r>
        <w:t>After the service is added right-click it and select Properties.</w:t>
      </w:r>
    </w:p>
    <w:p w:rsidR="00EF1587" w:rsidRDefault="00EF1587" w:rsidP="00EF1587">
      <w:pPr>
        <w:pStyle w:val="BodyText"/>
        <w:numPr>
          <w:ilvl w:val="0"/>
          <w:numId w:val="28"/>
        </w:numPr>
      </w:pPr>
      <w:r>
        <w:t>Select the Parameters Tab and check the ‘Use network name for computer name’ checkbox.</w:t>
      </w:r>
    </w:p>
    <w:p w:rsidR="00EF1587" w:rsidRDefault="00EF1587" w:rsidP="00EF1587">
      <w:pPr>
        <w:pStyle w:val="BodyText"/>
        <w:numPr>
          <w:ilvl w:val="0"/>
          <w:numId w:val="28"/>
        </w:numPr>
      </w:pPr>
      <w:r>
        <w:t>Select the Registry Replication Tab and add ‘SOFTWARE\Idera\SQLdm\Default’</w:t>
      </w:r>
    </w:p>
    <w:p w:rsidR="00EF1587" w:rsidRDefault="00EF1587" w:rsidP="00EF1587">
      <w:pPr>
        <w:pStyle w:val="BodyText"/>
        <w:numPr>
          <w:ilvl w:val="0"/>
          <w:numId w:val="28"/>
        </w:numPr>
      </w:pPr>
      <w:r>
        <w:t>Click OK</w:t>
      </w:r>
    </w:p>
    <w:p w:rsidR="00ED4834" w:rsidRDefault="00ED4834" w:rsidP="00ED4834">
      <w:pPr>
        <w:pStyle w:val="BodyText"/>
        <w:numPr>
          <w:ilvl w:val="0"/>
          <w:numId w:val="23"/>
        </w:numPr>
      </w:pPr>
      <w:r>
        <w:t>Create a Service resource for the SQLdm Collection Service</w:t>
      </w:r>
    </w:p>
    <w:p w:rsidR="00ED4834" w:rsidRDefault="00ED4834" w:rsidP="00ED4834">
      <w:pPr>
        <w:pStyle w:val="BodyText"/>
        <w:numPr>
          <w:ilvl w:val="0"/>
          <w:numId w:val="26"/>
        </w:numPr>
      </w:pPr>
      <w:r>
        <w:t>Add the Disk for the shared data as a dependency</w:t>
      </w:r>
    </w:p>
    <w:p w:rsidR="00ED4834" w:rsidRDefault="00ED4834" w:rsidP="00ED4834">
      <w:pPr>
        <w:pStyle w:val="BodyText"/>
        <w:numPr>
          <w:ilvl w:val="0"/>
          <w:numId w:val="26"/>
        </w:numPr>
      </w:pPr>
      <w:r>
        <w:t>Add the Network Name as a dependency</w:t>
      </w:r>
    </w:p>
    <w:p w:rsidR="00EF1587" w:rsidRDefault="00EF1587" w:rsidP="00ED4834">
      <w:pPr>
        <w:pStyle w:val="BodyText"/>
        <w:numPr>
          <w:ilvl w:val="0"/>
          <w:numId w:val="26"/>
        </w:numPr>
      </w:pPr>
      <w:r>
        <w:t>Specify ‘SQLdmCollectionService$Default’ as the name of the service to start</w:t>
      </w:r>
    </w:p>
    <w:p w:rsidR="00EF1587" w:rsidRDefault="00EF1587" w:rsidP="00EF1587">
      <w:pPr>
        <w:pStyle w:val="BodyText"/>
        <w:numPr>
          <w:ilvl w:val="0"/>
          <w:numId w:val="23"/>
        </w:numPr>
      </w:pPr>
      <w:r>
        <w:t>After the service is added right-click it and select Properties.</w:t>
      </w:r>
    </w:p>
    <w:p w:rsidR="00EF1587" w:rsidRDefault="00EF1587" w:rsidP="00EF1587">
      <w:pPr>
        <w:pStyle w:val="BodyText"/>
        <w:numPr>
          <w:ilvl w:val="0"/>
          <w:numId w:val="29"/>
        </w:numPr>
      </w:pPr>
      <w:r>
        <w:t>Select the Parameters Tab and check the ‘Use network name for computer name’ checkbox.</w:t>
      </w:r>
    </w:p>
    <w:p w:rsidR="00EF1587" w:rsidRDefault="00EF1587" w:rsidP="00EF1587">
      <w:pPr>
        <w:pStyle w:val="BodyText"/>
        <w:numPr>
          <w:ilvl w:val="0"/>
          <w:numId w:val="29"/>
        </w:numPr>
      </w:pPr>
      <w:r>
        <w:t>Click OK</w:t>
      </w:r>
    </w:p>
    <w:p w:rsidR="00ED4834" w:rsidRDefault="00ED4834" w:rsidP="00ED4834">
      <w:pPr>
        <w:pStyle w:val="BodyText"/>
        <w:numPr>
          <w:ilvl w:val="0"/>
          <w:numId w:val="23"/>
        </w:numPr>
      </w:pPr>
      <w:r>
        <w:t>Bring the SQLdm Management service resource online.</w:t>
      </w:r>
    </w:p>
    <w:p w:rsidR="00ED4834" w:rsidRDefault="00ED4834" w:rsidP="00ED4834">
      <w:pPr>
        <w:pStyle w:val="BodyText"/>
        <w:numPr>
          <w:ilvl w:val="0"/>
          <w:numId w:val="23"/>
        </w:numPr>
      </w:pPr>
      <w:r>
        <w:t>Bring the SQLdm Collection service resource online.</w:t>
      </w:r>
    </w:p>
    <w:p w:rsidR="00ED4834" w:rsidRDefault="00ED4834" w:rsidP="00ED4834">
      <w:pPr>
        <w:pStyle w:val="BodyText"/>
        <w:numPr>
          <w:ilvl w:val="0"/>
          <w:numId w:val="23"/>
        </w:numPr>
      </w:pPr>
      <w:r>
        <w:t>Start the SQLdm Desktop Client and select SQLdm Repository.  If the SQLdm Repository is clustered make sure to use the virtual server name for the SQL Server hosting the SQLdm Repository.</w:t>
      </w:r>
    </w:p>
    <w:p w:rsidR="00ED4834" w:rsidRDefault="00ED4834" w:rsidP="00ED4834">
      <w:pPr>
        <w:pStyle w:val="BodyText"/>
        <w:numPr>
          <w:ilvl w:val="0"/>
          <w:numId w:val="23"/>
        </w:numPr>
      </w:pPr>
      <w:r>
        <w:t>If the SQLdm Services were started before they were configured in Cluster Services then they may have already registered themselves in the SQLdm Repository.  Use the Management Service Configuration Wizard to force the services to re-register.</w:t>
      </w:r>
    </w:p>
    <w:p w:rsidR="00ED4834" w:rsidRDefault="00ED4834" w:rsidP="00ED4834">
      <w:pPr>
        <w:pStyle w:val="BodyText"/>
      </w:pPr>
      <w:r>
        <w:t>Upgrading SQL diagnostic manager when configured in a cluster.</w:t>
      </w:r>
    </w:p>
    <w:p w:rsidR="00ED4834" w:rsidRDefault="00ED1DD1" w:rsidP="00ED4834">
      <w:pPr>
        <w:pStyle w:val="BodyText"/>
        <w:numPr>
          <w:ilvl w:val="0"/>
          <w:numId w:val="27"/>
        </w:numPr>
      </w:pPr>
      <w:r>
        <w:t>The services cannot be running when upgrading the primary node so you must take the services offline in Cluster Administrator.</w:t>
      </w:r>
    </w:p>
    <w:p w:rsidR="00ED4834" w:rsidRDefault="00ED4834" w:rsidP="00ED4834">
      <w:pPr>
        <w:pStyle w:val="BodyText"/>
        <w:numPr>
          <w:ilvl w:val="0"/>
          <w:numId w:val="27"/>
        </w:numPr>
      </w:pPr>
      <w:r>
        <w:t xml:space="preserve">Upgrade </w:t>
      </w:r>
      <w:r w:rsidR="00ED1DD1">
        <w:t>the services on the primary node.  This step will also upgrade the SQLdm Repository.</w:t>
      </w:r>
    </w:p>
    <w:p w:rsidR="00ED1DD1" w:rsidRDefault="00ED1DD1" w:rsidP="00ED4834">
      <w:pPr>
        <w:pStyle w:val="BodyText"/>
        <w:numPr>
          <w:ilvl w:val="0"/>
          <w:numId w:val="27"/>
        </w:numPr>
      </w:pPr>
      <w:r>
        <w:t>Bring the services back online on the primary node.</w:t>
      </w:r>
    </w:p>
    <w:p w:rsidR="00ED1DD1" w:rsidRPr="009559A3" w:rsidRDefault="00ED1DD1" w:rsidP="00ED4834">
      <w:pPr>
        <w:pStyle w:val="BodyText"/>
        <w:numPr>
          <w:ilvl w:val="0"/>
          <w:numId w:val="27"/>
        </w:numPr>
      </w:pPr>
      <w:r>
        <w:t>Upgrade the services on each of the fail over nodes.  Until you have completed this step the services will not be available if a fail over occurs.</w:t>
      </w:r>
    </w:p>
    <w:p w:rsidR="00AA220A" w:rsidRDefault="009559A3">
      <w:pPr>
        <w:pStyle w:val="Heading1"/>
      </w:pPr>
      <w:bookmarkStart w:id="95" w:name="_Toc242854706"/>
      <w:r>
        <w:t>Bibliography</w:t>
      </w:r>
      <w:bookmarkEnd w:id="95"/>
      <w:r w:rsidR="00AA220A">
        <w:rPr>
          <w:rStyle w:val="CommentReference"/>
          <w:rFonts w:ascii="Times New Roman" w:hAnsi="Times New Roman"/>
          <w:b w:val="0"/>
          <w:i w:val="0"/>
          <w:vanish/>
        </w:rPr>
        <w:t xml:space="preserve"> </w:t>
      </w:r>
    </w:p>
    <w:sectPr w:rsidR="00AA220A" w:rsidSect="00487294">
      <w:pgSz w:w="12240" w:h="15840"/>
      <w:pgMar w:top="720" w:right="1440" w:bottom="72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76F" w:rsidRDefault="009F176F">
      <w:r>
        <w:separator/>
      </w:r>
    </w:p>
  </w:endnote>
  <w:endnote w:type="continuationSeparator" w:id="0">
    <w:p w:rsidR="009F176F" w:rsidRDefault="009F17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FB2FF0">
    <w:pPr>
      <w:pStyle w:val="Footer"/>
      <w:rPr>
        <w:rFonts w:ascii="Arial" w:hAnsi="Arial" w:cs="Arial"/>
        <w:i/>
        <w:sz w:val="16"/>
      </w:rPr>
    </w:pPr>
    <w:r>
      <w:rPr>
        <w:rFonts w:ascii="Arial" w:hAnsi="Arial" w:cs="Arial"/>
        <w:i/>
        <w:sz w:val="16"/>
      </w:rPr>
      <w:t>Cluster Support</w:t>
    </w:r>
    <w:r w:rsidR="00AA220A">
      <w:rPr>
        <w:rFonts w:ascii="Arial" w:hAnsi="Arial" w:cs="Arial"/>
        <w:i/>
        <w:sz w:val="16"/>
      </w:rPr>
      <w:t xml:space="preserve"> (as of </w:t>
    </w:r>
    <w:r w:rsidR="002819C0">
      <w:rPr>
        <w:rFonts w:ascii="Arial" w:hAnsi="Arial" w:cs="Arial"/>
        <w:i/>
        <w:sz w:val="16"/>
      </w:rPr>
      <w:fldChar w:fldCharType="begin"/>
    </w:r>
    <w:r w:rsidR="00AA220A">
      <w:rPr>
        <w:rFonts w:ascii="Arial" w:hAnsi="Arial" w:cs="Arial"/>
        <w:i/>
        <w:sz w:val="16"/>
      </w:rPr>
      <w:instrText xml:space="preserve"> SAVEDATE \@ "dd-MMM-yyyy h:mm am/pm" \* MERGEFORMAT </w:instrText>
    </w:r>
    <w:r w:rsidR="002819C0">
      <w:rPr>
        <w:rFonts w:ascii="Arial" w:hAnsi="Arial" w:cs="Arial"/>
        <w:i/>
        <w:sz w:val="16"/>
      </w:rPr>
      <w:fldChar w:fldCharType="separate"/>
    </w:r>
    <w:r w:rsidR="003B4F88">
      <w:rPr>
        <w:rFonts w:ascii="Arial" w:hAnsi="Arial" w:cs="Arial"/>
        <w:i/>
        <w:noProof/>
        <w:sz w:val="16"/>
      </w:rPr>
      <w:t>09-Oct-2009 11:29 AM</w:t>
    </w:r>
    <w:r w:rsidR="002819C0">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2819C0">
      <w:rPr>
        <w:rStyle w:val="PageNumber"/>
        <w:rFonts w:ascii="Arial" w:hAnsi="Arial" w:cs="Arial"/>
        <w:i/>
        <w:sz w:val="16"/>
      </w:rPr>
      <w:fldChar w:fldCharType="begin"/>
    </w:r>
    <w:r>
      <w:rPr>
        <w:rStyle w:val="PageNumber"/>
        <w:rFonts w:ascii="Arial" w:hAnsi="Arial" w:cs="Arial"/>
        <w:i/>
        <w:sz w:val="16"/>
      </w:rPr>
      <w:instrText xml:space="preserve"> PAGE </w:instrText>
    </w:r>
    <w:r w:rsidR="002819C0">
      <w:rPr>
        <w:rStyle w:val="PageNumber"/>
        <w:rFonts w:ascii="Arial" w:hAnsi="Arial" w:cs="Arial"/>
        <w:i/>
        <w:sz w:val="16"/>
      </w:rPr>
      <w:fldChar w:fldCharType="separate"/>
    </w:r>
    <w:r w:rsidR="003B4F88">
      <w:rPr>
        <w:rStyle w:val="PageNumber"/>
        <w:rFonts w:ascii="Arial" w:hAnsi="Arial" w:cs="Arial"/>
        <w:i/>
        <w:noProof/>
        <w:sz w:val="16"/>
      </w:rPr>
      <w:t>4</w:t>
    </w:r>
    <w:r w:rsidR="002819C0">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76F" w:rsidRDefault="009F176F">
      <w:r>
        <w:separator/>
      </w:r>
    </w:p>
  </w:footnote>
  <w:footnote w:type="continuationSeparator" w:id="0">
    <w:p w:rsidR="009F176F" w:rsidRDefault="009F17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AD015A"/>
    <w:multiLevelType w:val="hybridMultilevel"/>
    <w:tmpl w:val="2AB2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83843"/>
    <w:multiLevelType w:val="hybridMultilevel"/>
    <w:tmpl w:val="4D16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C320F"/>
    <w:multiLevelType w:val="hybridMultilevel"/>
    <w:tmpl w:val="3098A2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A23C4C"/>
    <w:multiLevelType w:val="hybridMultilevel"/>
    <w:tmpl w:val="45740856"/>
    <w:lvl w:ilvl="0" w:tplc="A9ACD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EB51B1"/>
    <w:multiLevelType w:val="hybridMultilevel"/>
    <w:tmpl w:val="F80694C0"/>
    <w:lvl w:ilvl="0" w:tplc="D1C27A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C04B53"/>
    <w:multiLevelType w:val="hybridMultilevel"/>
    <w:tmpl w:val="4AAE604E"/>
    <w:lvl w:ilvl="0" w:tplc="F4202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8">
    <w:nsid w:val="29A96E7B"/>
    <w:multiLevelType w:val="hybridMultilevel"/>
    <w:tmpl w:val="8814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4279A"/>
    <w:multiLevelType w:val="hybridMultilevel"/>
    <w:tmpl w:val="0B74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04B0A"/>
    <w:multiLevelType w:val="hybridMultilevel"/>
    <w:tmpl w:val="1540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72958"/>
    <w:multiLevelType w:val="hybridMultilevel"/>
    <w:tmpl w:val="8CF8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02650"/>
    <w:multiLevelType w:val="hybridMultilevel"/>
    <w:tmpl w:val="9E70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B4B1F"/>
    <w:multiLevelType w:val="hybridMultilevel"/>
    <w:tmpl w:val="4970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035C4"/>
    <w:multiLevelType w:val="hybridMultilevel"/>
    <w:tmpl w:val="252C641A"/>
    <w:lvl w:ilvl="0" w:tplc="6234F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5260AB"/>
    <w:multiLevelType w:val="singleLevel"/>
    <w:tmpl w:val="50A2E392"/>
    <w:lvl w:ilvl="0">
      <w:start w:val="1"/>
      <w:numFmt w:val="decimal"/>
      <w:lvlText w:val="%1)"/>
      <w:legacy w:legacy="1" w:legacySpace="0" w:legacyIndent="360"/>
      <w:lvlJc w:val="left"/>
      <w:pPr>
        <w:ind w:left="360" w:hanging="360"/>
      </w:pPr>
    </w:lvl>
  </w:abstractNum>
  <w:abstractNum w:abstractNumId="16">
    <w:nsid w:val="4ABD05EC"/>
    <w:multiLevelType w:val="hybridMultilevel"/>
    <w:tmpl w:val="DA8E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85611"/>
    <w:multiLevelType w:val="hybridMultilevel"/>
    <w:tmpl w:val="1264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C16AB"/>
    <w:multiLevelType w:val="multilevel"/>
    <w:tmpl w:val="BF40866A"/>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nsid w:val="57B16410"/>
    <w:multiLevelType w:val="hybridMultilevel"/>
    <w:tmpl w:val="0E0C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853F6"/>
    <w:multiLevelType w:val="hybridMultilevel"/>
    <w:tmpl w:val="1658B016"/>
    <w:lvl w:ilvl="0" w:tplc="E5D6FF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C76D99"/>
    <w:multiLevelType w:val="multilevel"/>
    <w:tmpl w:val="122C75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22">
    <w:nsid w:val="69246171"/>
    <w:multiLevelType w:val="hybridMultilevel"/>
    <w:tmpl w:val="1A385D7C"/>
    <w:lvl w:ilvl="0" w:tplc="9EB2A1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9C1556"/>
    <w:multiLevelType w:val="hybridMultilevel"/>
    <w:tmpl w:val="9E70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2E0F14"/>
    <w:multiLevelType w:val="hybridMultilevel"/>
    <w:tmpl w:val="3FA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45681"/>
    <w:multiLevelType w:val="hybridMultilevel"/>
    <w:tmpl w:val="59CE969E"/>
    <w:lvl w:ilvl="0" w:tplc="31D4DFA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EB401F0"/>
    <w:multiLevelType w:val="multilevel"/>
    <w:tmpl w:val="E268617E"/>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21"/>
  </w:num>
  <w:num w:numId="4">
    <w:abstractNumId w:val="27"/>
  </w:num>
  <w:num w:numId="5">
    <w:abstractNumId w:val="15"/>
  </w:num>
  <w:num w:numId="6">
    <w:abstractNumId w:val="23"/>
  </w:num>
  <w:num w:numId="7">
    <w:abstractNumId w:val="19"/>
  </w:num>
  <w:num w:numId="8">
    <w:abstractNumId w:val="1"/>
  </w:num>
  <w:num w:numId="9">
    <w:abstractNumId w:val="16"/>
  </w:num>
  <w:num w:numId="10">
    <w:abstractNumId w:val="10"/>
  </w:num>
  <w:num w:numId="11">
    <w:abstractNumId w:val="11"/>
  </w:num>
  <w:num w:numId="12">
    <w:abstractNumId w:val="2"/>
  </w:num>
  <w:num w:numId="13">
    <w:abstractNumId w:val="17"/>
  </w:num>
  <w:num w:numId="14">
    <w:abstractNumId w:val="13"/>
  </w:num>
  <w:num w:numId="15">
    <w:abstractNumId w:val="8"/>
  </w:num>
  <w:num w:numId="16">
    <w:abstractNumId w:val="25"/>
  </w:num>
  <w:num w:numId="17">
    <w:abstractNumId w:val="3"/>
  </w:num>
  <w:num w:numId="18">
    <w:abstractNumId w:val="28"/>
  </w:num>
  <w:num w:numId="19">
    <w:abstractNumId w:val="18"/>
  </w:num>
  <w:num w:numId="20">
    <w:abstractNumId w:val="9"/>
  </w:num>
  <w:num w:numId="21">
    <w:abstractNumId w:val="24"/>
  </w:num>
  <w:num w:numId="22">
    <w:abstractNumId w:val="12"/>
  </w:num>
  <w:num w:numId="23">
    <w:abstractNumId w:val="14"/>
  </w:num>
  <w:num w:numId="24">
    <w:abstractNumId w:val="22"/>
  </w:num>
  <w:num w:numId="25">
    <w:abstractNumId w:val="26"/>
  </w:num>
  <w:num w:numId="26">
    <w:abstractNumId w:val="20"/>
  </w:num>
  <w:num w:numId="27">
    <w:abstractNumId w:val="6"/>
  </w:num>
  <w:num w:numId="28">
    <w:abstractNumId w:val="4"/>
  </w:num>
  <w:num w:numId="29">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oNotTrackMoves/>
  <w:defaultTabStop w:val="720"/>
  <w:doNotHyphenateCaps/>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73BA"/>
    <w:rsid w:val="000100EA"/>
    <w:rsid w:val="000373BA"/>
    <w:rsid w:val="000707B1"/>
    <w:rsid w:val="00080EAE"/>
    <w:rsid w:val="00085351"/>
    <w:rsid w:val="000B4E83"/>
    <w:rsid w:val="000E24C5"/>
    <w:rsid w:val="000E40AC"/>
    <w:rsid w:val="000F16F5"/>
    <w:rsid w:val="0013369F"/>
    <w:rsid w:val="00151DAF"/>
    <w:rsid w:val="00180399"/>
    <w:rsid w:val="001823BE"/>
    <w:rsid w:val="001A38B6"/>
    <w:rsid w:val="001D2058"/>
    <w:rsid w:val="001E0764"/>
    <w:rsid w:val="001F64A6"/>
    <w:rsid w:val="00207B74"/>
    <w:rsid w:val="00225889"/>
    <w:rsid w:val="002263E6"/>
    <w:rsid w:val="00265126"/>
    <w:rsid w:val="002819C0"/>
    <w:rsid w:val="002A2C59"/>
    <w:rsid w:val="002B1EE8"/>
    <w:rsid w:val="002D297E"/>
    <w:rsid w:val="002F5ED7"/>
    <w:rsid w:val="00333A5C"/>
    <w:rsid w:val="0039034F"/>
    <w:rsid w:val="003A17C4"/>
    <w:rsid w:val="003A64E3"/>
    <w:rsid w:val="003B119F"/>
    <w:rsid w:val="003B4F88"/>
    <w:rsid w:val="003B6CE1"/>
    <w:rsid w:val="004459F1"/>
    <w:rsid w:val="0045542D"/>
    <w:rsid w:val="00463310"/>
    <w:rsid w:val="004706E8"/>
    <w:rsid w:val="0048574A"/>
    <w:rsid w:val="00487294"/>
    <w:rsid w:val="00494819"/>
    <w:rsid w:val="00494968"/>
    <w:rsid w:val="004C0739"/>
    <w:rsid w:val="00560299"/>
    <w:rsid w:val="00595803"/>
    <w:rsid w:val="005C2243"/>
    <w:rsid w:val="005C353D"/>
    <w:rsid w:val="005C38D1"/>
    <w:rsid w:val="005E0D6D"/>
    <w:rsid w:val="006003C6"/>
    <w:rsid w:val="00607552"/>
    <w:rsid w:val="006371C6"/>
    <w:rsid w:val="006422CB"/>
    <w:rsid w:val="00670FCF"/>
    <w:rsid w:val="00672BE0"/>
    <w:rsid w:val="006813E6"/>
    <w:rsid w:val="006A671A"/>
    <w:rsid w:val="006C7BD7"/>
    <w:rsid w:val="00707586"/>
    <w:rsid w:val="00717115"/>
    <w:rsid w:val="00724D0F"/>
    <w:rsid w:val="007428C0"/>
    <w:rsid w:val="00774279"/>
    <w:rsid w:val="007C5908"/>
    <w:rsid w:val="007D2848"/>
    <w:rsid w:val="007F1C4B"/>
    <w:rsid w:val="00805ABF"/>
    <w:rsid w:val="0081244E"/>
    <w:rsid w:val="00823C4A"/>
    <w:rsid w:val="00840751"/>
    <w:rsid w:val="00842CD9"/>
    <w:rsid w:val="008866AE"/>
    <w:rsid w:val="008A59BA"/>
    <w:rsid w:val="008B0721"/>
    <w:rsid w:val="008E1BAD"/>
    <w:rsid w:val="008F5026"/>
    <w:rsid w:val="0090096F"/>
    <w:rsid w:val="009341F4"/>
    <w:rsid w:val="009559A3"/>
    <w:rsid w:val="009670DE"/>
    <w:rsid w:val="00971EB6"/>
    <w:rsid w:val="00972C33"/>
    <w:rsid w:val="009746DB"/>
    <w:rsid w:val="0099310F"/>
    <w:rsid w:val="00995D0B"/>
    <w:rsid w:val="009A2FA9"/>
    <w:rsid w:val="009D271E"/>
    <w:rsid w:val="009D383A"/>
    <w:rsid w:val="009E34EB"/>
    <w:rsid w:val="009E5C79"/>
    <w:rsid w:val="009F176F"/>
    <w:rsid w:val="00A4642F"/>
    <w:rsid w:val="00A84111"/>
    <w:rsid w:val="00AA220A"/>
    <w:rsid w:val="00AB1497"/>
    <w:rsid w:val="00AC2F65"/>
    <w:rsid w:val="00AD6338"/>
    <w:rsid w:val="00AE5F39"/>
    <w:rsid w:val="00B53021"/>
    <w:rsid w:val="00B53274"/>
    <w:rsid w:val="00B6137C"/>
    <w:rsid w:val="00B708CE"/>
    <w:rsid w:val="00B85743"/>
    <w:rsid w:val="00B90DBC"/>
    <w:rsid w:val="00BB79B2"/>
    <w:rsid w:val="00C42BA6"/>
    <w:rsid w:val="00C46971"/>
    <w:rsid w:val="00C57E4F"/>
    <w:rsid w:val="00C63771"/>
    <w:rsid w:val="00C77175"/>
    <w:rsid w:val="00CF10A8"/>
    <w:rsid w:val="00D03749"/>
    <w:rsid w:val="00D03F85"/>
    <w:rsid w:val="00D1156D"/>
    <w:rsid w:val="00D22D4B"/>
    <w:rsid w:val="00D5011D"/>
    <w:rsid w:val="00D518C2"/>
    <w:rsid w:val="00D534EE"/>
    <w:rsid w:val="00D56E4D"/>
    <w:rsid w:val="00DC3587"/>
    <w:rsid w:val="00DD7BCF"/>
    <w:rsid w:val="00DE5480"/>
    <w:rsid w:val="00E00255"/>
    <w:rsid w:val="00E04567"/>
    <w:rsid w:val="00E136BF"/>
    <w:rsid w:val="00E67B5E"/>
    <w:rsid w:val="00E774BB"/>
    <w:rsid w:val="00E84C4F"/>
    <w:rsid w:val="00E92F20"/>
    <w:rsid w:val="00ED1DD1"/>
    <w:rsid w:val="00ED4834"/>
    <w:rsid w:val="00EF1587"/>
    <w:rsid w:val="00F23F13"/>
    <w:rsid w:val="00F2637C"/>
    <w:rsid w:val="00F32FE2"/>
    <w:rsid w:val="00F4632C"/>
    <w:rsid w:val="00F67A21"/>
    <w:rsid w:val="00F80602"/>
    <w:rsid w:val="00FB2FF0"/>
    <w:rsid w:val="00FC6540"/>
    <w:rsid w:val="00FE1E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671A"/>
  </w:style>
  <w:style w:type="paragraph" w:styleId="Heading1">
    <w:name w:val="heading 1"/>
    <w:basedOn w:val="Normal"/>
    <w:next w:val="BodyText"/>
    <w:qFormat/>
    <w:rsid w:val="006A671A"/>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6A671A"/>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6A671A"/>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6A671A"/>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6A671A"/>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6A671A"/>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6A671A"/>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6A671A"/>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6A671A"/>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671A"/>
    <w:pPr>
      <w:tabs>
        <w:tab w:val="center" w:pos="4320"/>
        <w:tab w:val="right" w:pos="8640"/>
      </w:tabs>
    </w:pPr>
  </w:style>
  <w:style w:type="paragraph" w:styleId="Footer">
    <w:name w:val="footer"/>
    <w:basedOn w:val="Normal"/>
    <w:rsid w:val="006A671A"/>
    <w:pPr>
      <w:tabs>
        <w:tab w:val="center" w:pos="4320"/>
        <w:tab w:val="right" w:pos="8640"/>
      </w:tabs>
    </w:pPr>
  </w:style>
  <w:style w:type="paragraph" w:styleId="TOC1">
    <w:name w:val="toc 1"/>
    <w:basedOn w:val="Normal"/>
    <w:next w:val="Normal"/>
    <w:autoRedefine/>
    <w:uiPriority w:val="39"/>
    <w:rsid w:val="001E0764"/>
    <w:pPr>
      <w:keepLines/>
      <w:tabs>
        <w:tab w:val="right" w:leader="dot" w:pos="9360"/>
      </w:tabs>
      <w:spacing w:before="120" w:after="120"/>
    </w:pPr>
    <w:rPr>
      <w:b/>
      <w:caps/>
    </w:rPr>
  </w:style>
  <w:style w:type="paragraph" w:styleId="TOC2">
    <w:name w:val="toc 2"/>
    <w:basedOn w:val="Normal"/>
    <w:next w:val="Normal"/>
    <w:autoRedefine/>
    <w:uiPriority w:val="39"/>
    <w:rsid w:val="006A671A"/>
    <w:pPr>
      <w:tabs>
        <w:tab w:val="right" w:leader="dot" w:pos="9360"/>
      </w:tabs>
    </w:pPr>
    <w:rPr>
      <w:smallCaps/>
    </w:rPr>
  </w:style>
  <w:style w:type="paragraph" w:styleId="TOC3">
    <w:name w:val="toc 3"/>
    <w:basedOn w:val="Normal"/>
    <w:next w:val="Normal"/>
    <w:autoRedefine/>
    <w:uiPriority w:val="39"/>
    <w:rsid w:val="006A671A"/>
    <w:pPr>
      <w:tabs>
        <w:tab w:val="right" w:leader="dot" w:pos="9360"/>
      </w:tabs>
      <w:ind w:left="200"/>
    </w:pPr>
    <w:rPr>
      <w:i/>
    </w:rPr>
  </w:style>
  <w:style w:type="paragraph" w:styleId="NormalIndent">
    <w:name w:val="Normal Indent"/>
    <w:basedOn w:val="Normal"/>
    <w:rsid w:val="006A671A"/>
    <w:pPr>
      <w:ind w:left="720"/>
    </w:pPr>
  </w:style>
  <w:style w:type="paragraph" w:styleId="TOC4">
    <w:name w:val="toc 4"/>
    <w:basedOn w:val="Normal"/>
    <w:next w:val="Normal"/>
    <w:autoRedefine/>
    <w:semiHidden/>
    <w:rsid w:val="006A671A"/>
    <w:pPr>
      <w:tabs>
        <w:tab w:val="right" w:leader="dot" w:pos="9360"/>
      </w:tabs>
      <w:ind w:left="600"/>
    </w:pPr>
  </w:style>
  <w:style w:type="paragraph" w:styleId="TOC5">
    <w:name w:val="toc 5"/>
    <w:basedOn w:val="Normal"/>
    <w:next w:val="Normal"/>
    <w:autoRedefine/>
    <w:semiHidden/>
    <w:rsid w:val="006A671A"/>
    <w:pPr>
      <w:tabs>
        <w:tab w:val="right" w:leader="dot" w:pos="9360"/>
      </w:tabs>
      <w:ind w:left="800"/>
    </w:pPr>
  </w:style>
  <w:style w:type="paragraph" w:styleId="TOC6">
    <w:name w:val="toc 6"/>
    <w:basedOn w:val="Normal"/>
    <w:next w:val="Normal"/>
    <w:autoRedefine/>
    <w:semiHidden/>
    <w:rsid w:val="006A671A"/>
    <w:pPr>
      <w:tabs>
        <w:tab w:val="right" w:leader="dot" w:pos="9360"/>
      </w:tabs>
      <w:ind w:left="1000"/>
    </w:pPr>
  </w:style>
  <w:style w:type="paragraph" w:styleId="TOC7">
    <w:name w:val="toc 7"/>
    <w:basedOn w:val="Normal"/>
    <w:next w:val="Normal"/>
    <w:autoRedefine/>
    <w:semiHidden/>
    <w:rsid w:val="006A671A"/>
    <w:pPr>
      <w:tabs>
        <w:tab w:val="right" w:leader="dot" w:pos="9360"/>
      </w:tabs>
      <w:ind w:left="1200"/>
    </w:pPr>
  </w:style>
  <w:style w:type="paragraph" w:styleId="TOC8">
    <w:name w:val="toc 8"/>
    <w:basedOn w:val="Normal"/>
    <w:next w:val="Normal"/>
    <w:autoRedefine/>
    <w:semiHidden/>
    <w:rsid w:val="006A671A"/>
    <w:pPr>
      <w:tabs>
        <w:tab w:val="right" w:leader="dot" w:pos="9360"/>
      </w:tabs>
      <w:ind w:left="1400"/>
    </w:pPr>
  </w:style>
  <w:style w:type="paragraph" w:styleId="TOC9">
    <w:name w:val="toc 9"/>
    <w:basedOn w:val="Normal"/>
    <w:next w:val="Normal"/>
    <w:autoRedefine/>
    <w:semiHidden/>
    <w:rsid w:val="006A671A"/>
    <w:pPr>
      <w:tabs>
        <w:tab w:val="right" w:leader="dot" w:pos="9360"/>
      </w:tabs>
      <w:ind w:left="1600"/>
    </w:pPr>
  </w:style>
  <w:style w:type="character" w:styleId="PageNumber">
    <w:name w:val="page number"/>
    <w:basedOn w:val="DefaultParagraphFont"/>
    <w:rsid w:val="006A671A"/>
  </w:style>
  <w:style w:type="character" w:styleId="CommentReference">
    <w:name w:val="annotation reference"/>
    <w:basedOn w:val="DefaultParagraphFont"/>
    <w:semiHidden/>
    <w:rsid w:val="006A671A"/>
    <w:rPr>
      <w:sz w:val="16"/>
    </w:rPr>
  </w:style>
  <w:style w:type="paragraph" w:styleId="CommentText">
    <w:name w:val="annotation text"/>
    <w:basedOn w:val="Normal"/>
    <w:semiHidden/>
    <w:rsid w:val="006A671A"/>
  </w:style>
  <w:style w:type="paragraph" w:customStyle="1" w:styleId="Codeexample">
    <w:name w:val="Code example"/>
    <w:basedOn w:val="Normal"/>
    <w:rsid w:val="006A671A"/>
    <w:pPr>
      <w:ind w:left="144"/>
    </w:pPr>
    <w:rPr>
      <w:rFonts w:ascii="Courier New" w:hAnsi="Courier New"/>
      <w:noProof/>
    </w:rPr>
  </w:style>
  <w:style w:type="paragraph" w:styleId="BodyText">
    <w:name w:val="Body Text"/>
    <w:basedOn w:val="Normal"/>
    <w:rsid w:val="006A671A"/>
    <w:pPr>
      <w:spacing w:after="120"/>
    </w:pPr>
  </w:style>
  <w:style w:type="character" w:styleId="Hyperlink">
    <w:name w:val="Hyperlink"/>
    <w:basedOn w:val="DefaultParagraphFont"/>
    <w:rsid w:val="006A671A"/>
    <w:rPr>
      <w:color w:val="0000FF"/>
      <w:u w:val="single"/>
    </w:rPr>
  </w:style>
  <w:style w:type="paragraph" w:styleId="DocumentMap">
    <w:name w:val="Document Map"/>
    <w:basedOn w:val="Normal"/>
    <w:semiHidden/>
    <w:rsid w:val="006A671A"/>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character" w:styleId="FollowedHyperlink">
    <w:name w:val="FollowedHyperlink"/>
    <w:basedOn w:val="DefaultParagraphFont"/>
    <w:rsid w:val="001A38B6"/>
    <w:rPr>
      <w:color w:val="800080"/>
      <w:u w:val="single"/>
    </w:rPr>
  </w:style>
</w:styles>
</file>

<file path=word/webSettings.xml><?xml version="1.0" encoding="utf-8"?>
<w:webSettings xmlns:r="http://schemas.openxmlformats.org/officeDocument/2006/relationships" xmlns:w="http://schemas.openxmlformats.org/wordprocessingml/2006/main">
  <w:divs>
    <w:div w:id="238827747">
      <w:bodyDiv w:val="1"/>
      <w:marLeft w:val="0"/>
      <w:marRight w:val="0"/>
      <w:marTop w:val="0"/>
      <w:marBottom w:val="0"/>
      <w:divBdr>
        <w:top w:val="none" w:sz="0" w:space="0" w:color="auto"/>
        <w:left w:val="none" w:sz="0" w:space="0" w:color="auto"/>
        <w:bottom w:val="none" w:sz="0" w:space="0" w:color="auto"/>
        <w:right w:val="none" w:sz="0" w:space="0" w:color="auto"/>
      </w:divBdr>
      <w:divsChild>
        <w:div w:id="1422292106">
          <w:marLeft w:val="0"/>
          <w:marRight w:val="0"/>
          <w:marTop w:val="0"/>
          <w:marBottom w:val="0"/>
          <w:divBdr>
            <w:top w:val="none" w:sz="0" w:space="0" w:color="auto"/>
            <w:left w:val="none" w:sz="0" w:space="0" w:color="auto"/>
            <w:bottom w:val="none" w:sz="0" w:space="0" w:color="auto"/>
            <w:right w:val="none" w:sz="0" w:space="0" w:color="auto"/>
          </w:divBdr>
        </w:div>
      </w:divsChild>
    </w:div>
    <w:div w:id="1174611016">
      <w:bodyDiv w:val="1"/>
      <w:marLeft w:val="2"/>
      <w:marRight w:val="2"/>
      <w:marTop w:val="0"/>
      <w:marBottom w:val="0"/>
      <w:divBdr>
        <w:top w:val="none" w:sz="0" w:space="0" w:color="auto"/>
        <w:left w:val="none" w:sz="0" w:space="0" w:color="auto"/>
        <w:bottom w:val="none" w:sz="0" w:space="0" w:color="auto"/>
        <w:right w:val="none" w:sz="0" w:space="0" w:color="auto"/>
      </w:divBdr>
      <w:divsChild>
        <w:div w:id="954290043">
          <w:marLeft w:val="0"/>
          <w:marRight w:val="0"/>
          <w:marTop w:val="0"/>
          <w:marBottom w:val="0"/>
          <w:divBdr>
            <w:top w:val="none" w:sz="0" w:space="0" w:color="auto"/>
            <w:left w:val="none" w:sz="0" w:space="0" w:color="auto"/>
            <w:bottom w:val="none" w:sz="0" w:space="0" w:color="auto"/>
            <w:right w:val="none" w:sz="0" w:space="0" w:color="auto"/>
          </w:divBdr>
          <w:divsChild>
            <w:div w:id="1800996729">
              <w:marLeft w:val="0"/>
              <w:marRight w:val="0"/>
              <w:marTop w:val="0"/>
              <w:marBottom w:val="0"/>
              <w:divBdr>
                <w:top w:val="none" w:sz="0" w:space="0" w:color="auto"/>
                <w:left w:val="none" w:sz="0" w:space="0" w:color="auto"/>
                <w:bottom w:val="none" w:sz="0" w:space="0" w:color="auto"/>
                <w:right w:val="none" w:sz="0" w:space="0" w:color="auto"/>
              </w:divBdr>
              <w:divsChild>
                <w:div w:id="78611988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qldm.hosted3.fastbugtrack.com/?page=com.other.ViewBug&amp;bugId=12960" TargetMode="Externa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devspec</Template>
  <TotalTime>681</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Deadlock Alerts</vt:lpstr>
    </vt:vector>
  </TitlesOfParts>
  <Company>Thunder God Software, LLC.</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Deadlock Alerts</dc:title>
  <dc:subject/>
  <dc:creator>Kurt Goolsbee</dc:creator>
  <cp:keywords/>
  <cp:lastModifiedBy>Kurt Goolsbee</cp:lastModifiedBy>
  <cp:revision>8</cp:revision>
  <cp:lastPrinted>1998-09-03T12:22:00Z</cp:lastPrinted>
  <dcterms:created xsi:type="dcterms:W3CDTF">2009-10-06T21:08:00Z</dcterms:created>
  <dcterms:modified xsi:type="dcterms:W3CDTF">2009-11-11T15:43:00Z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ies>
</file>