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290930">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1" cstate="print"/>
                    <a:srcRect/>
                    <a:stretch>
                      <a:fillRect/>
                    </a:stretch>
                  </pic:blipFill>
                  <pic:spPr bwMode="auto">
                    <a:xfrm>
                      <a:off x="0" y="0"/>
                      <a:ext cx="4095750" cy="2495550"/>
                    </a:xfrm>
                    <a:prstGeom prst="rect">
                      <a:avLst/>
                    </a:prstGeom>
                    <a:noFill/>
                  </pic:spPr>
                </pic:pic>
              </a:graphicData>
            </a:graphic>
          </wp:anchor>
        </w:drawing>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9F24A4" w:rsidP="00E04567">
      <w:pPr>
        <w:jc w:val="right"/>
        <w:rPr>
          <w:rFonts w:ascii="Arial" w:hAnsi="Arial"/>
          <w:b/>
          <w:sz w:val="36"/>
          <w:szCs w:val="36"/>
        </w:rPr>
      </w:pPr>
      <w:fldSimple w:instr=" TITLE  \* MERGEFORMAT ">
        <w:bookmarkStart w:id="0" w:name="_Toc381264532"/>
        <w:r w:rsidR="00ED5423" w:rsidRPr="00ED5423">
          <w:rPr>
            <w:rFonts w:ascii="Arial" w:hAnsi="Arial"/>
            <w:b/>
            <w:sz w:val="36"/>
            <w:szCs w:val="36"/>
          </w:rPr>
          <w:t>Improved Alerting</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9F24A4" w:rsidP="00E04567">
      <w:pPr>
        <w:spacing w:line="240" w:lineRule="atLeast"/>
        <w:jc w:val="right"/>
        <w:outlineLvl w:val="0"/>
        <w:rPr>
          <w:rFonts w:ascii="Arial" w:hAnsi="Arial"/>
          <w:b/>
          <w:sz w:val="24"/>
          <w:szCs w:val="24"/>
        </w:rPr>
      </w:pPr>
      <w:fldSimple w:instr=" AUTHOR  \* MERGEFORMAT ">
        <w:r w:rsidR="00ED5423" w:rsidRPr="00ED5423">
          <w:rPr>
            <w:rFonts w:ascii="Arial" w:hAnsi="Arial"/>
            <w:b/>
            <w:noProof/>
            <w:sz w:val="24"/>
            <w:szCs w:val="24"/>
          </w:rPr>
          <w:t>Robert Wilkinson</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9F24A4"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ED5423">
        <w:rPr>
          <w:rFonts w:ascii="Arial" w:hAnsi="Arial"/>
          <w:b/>
          <w:noProof/>
        </w:rPr>
        <w:t>11/17/09</w:t>
      </w:r>
      <w:r>
        <w:rPr>
          <w:rFonts w:ascii="Arial" w:hAnsi="Arial"/>
          <w:b/>
        </w:rPr>
        <w:fldChar w:fldCharType="end"/>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290930">
      <w:pPr>
        <w:spacing w:line="240" w:lineRule="atLeast"/>
        <w:jc w:val="center"/>
        <w:rPr>
          <w:b/>
        </w:rPr>
      </w:pPr>
      <w:r>
        <w:rPr>
          <w:noProof/>
        </w:rPr>
        <w:drawing>
          <wp:inline distT="0" distB="0" distL="0" distR="0">
            <wp:extent cx="1733550" cy="628015"/>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2" cstate="print"/>
                    <a:srcRect/>
                    <a:stretch>
                      <a:fillRect/>
                    </a:stretch>
                  </pic:blipFill>
                  <pic:spPr bwMode="auto">
                    <a:xfrm>
                      <a:off x="0" y="0"/>
                      <a:ext cx="1733550" cy="628015"/>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3"/>
          <w:pgSz w:w="12240" w:h="15840" w:code="1"/>
          <w:pgMar w:top="1440" w:right="1440" w:bottom="1440" w:left="1440" w:header="720" w:footer="720" w:gutter="0"/>
          <w:pgNumType w:fmt="lowerRoman"/>
          <w:cols w:space="720"/>
        </w:sectPr>
      </w:pPr>
      <w:r>
        <w:rPr>
          <w:b/>
        </w:rPr>
        <w:t>© 200</w:t>
      </w:r>
      <w:r w:rsidR="00685C01">
        <w:rPr>
          <w:b/>
        </w:rPr>
        <w:t>9</w:t>
      </w:r>
      <w:r>
        <w:rPr>
          <w:b/>
        </w:rPr>
        <w:t xml:space="preserve"> </w:t>
      </w:r>
      <w:r w:rsidR="00B6137C">
        <w:rPr>
          <w:b/>
        </w:rPr>
        <w:t>BBS Technologies, Inc.</w:t>
      </w:r>
      <w:r>
        <w:rPr>
          <w:b/>
        </w:rPr>
        <w:t>; all rights reserved.</w:t>
      </w:r>
    </w:p>
    <w:p w:rsidR="00AA220A" w:rsidRDefault="00AA220A">
      <w:pPr>
        <w:pStyle w:val="Heading1"/>
      </w:pPr>
      <w:bookmarkStart w:id="1" w:name="_Toc246228970"/>
      <w:r>
        <w:lastRenderedPageBreak/>
        <w:t>Revision history:</w:t>
      </w:r>
      <w:bookmarkEnd w:id="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5B1896">
            <w:pPr>
              <w:spacing w:line="240" w:lineRule="atLeast"/>
            </w:pPr>
            <w:r>
              <w:t>11/13</w:t>
            </w:r>
            <w:r w:rsidR="002D3F74">
              <w:t>/2009</w:t>
            </w:r>
          </w:p>
        </w:tc>
        <w:tc>
          <w:tcPr>
            <w:tcW w:w="1800" w:type="dxa"/>
          </w:tcPr>
          <w:p w:rsidR="00AA220A" w:rsidRDefault="002D3F74">
            <w:pPr>
              <w:spacing w:line="240" w:lineRule="atLeast"/>
            </w:pPr>
            <w:r>
              <w:t xml:space="preserve">Robert </w:t>
            </w:r>
          </w:p>
        </w:tc>
        <w:tc>
          <w:tcPr>
            <w:tcW w:w="5310" w:type="dxa"/>
          </w:tcPr>
          <w:p w:rsidR="00AA220A" w:rsidRDefault="002D3F74">
            <w:pPr>
              <w:spacing w:line="240" w:lineRule="atLeast"/>
            </w:pPr>
            <w:r>
              <w:t>First Draft</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 w:name="_Toc360430684"/>
      <w:bookmarkStart w:id="3" w:name="_Toc360430776"/>
      <w:bookmarkStart w:id="4" w:name="_Toc375126851"/>
      <w:bookmarkStart w:id="5" w:name="_Toc375126885"/>
      <w:bookmarkStart w:id="6" w:name="_Toc375126910"/>
      <w:bookmarkStart w:id="7" w:name="_Toc381264533"/>
      <w:bookmarkStart w:id="8" w:name="_Toc246228971"/>
      <w:bookmarkStart w:id="9" w:name="_Toc360430685"/>
      <w:bookmarkStart w:id="10" w:name="_Toc360430777"/>
      <w:bookmarkStart w:id="11" w:name="_Toc360431033"/>
      <w:bookmarkStart w:id="12" w:name="_Toc360431497"/>
      <w:bookmarkStart w:id="13" w:name="_Toc360431909"/>
      <w:bookmarkEnd w:id="2"/>
      <w:bookmarkEnd w:id="3"/>
      <w:bookmarkEnd w:id="4"/>
      <w:bookmarkEnd w:id="5"/>
      <w:bookmarkEnd w:id="6"/>
      <w:r>
        <w:lastRenderedPageBreak/>
        <w:t>Table of Contents</w:t>
      </w:r>
      <w:bookmarkEnd w:id="7"/>
      <w:bookmarkEnd w:id="8"/>
    </w:p>
    <w:p w:rsidR="00ED5423" w:rsidRDefault="009F24A4">
      <w:pPr>
        <w:pStyle w:val="TOC1"/>
        <w:rPr>
          <w:rFonts w:asciiTheme="minorHAnsi" w:eastAsiaTheme="minorEastAsia" w:hAnsiTheme="minorHAnsi" w:cstheme="minorBidi"/>
          <w:b w:val="0"/>
          <w:caps w:val="0"/>
          <w:noProof/>
          <w:sz w:val="22"/>
          <w:szCs w:val="22"/>
        </w:rPr>
      </w:pPr>
      <w:r w:rsidRPr="009F24A4">
        <w:fldChar w:fldCharType="begin"/>
      </w:r>
      <w:r w:rsidR="00AA220A">
        <w:instrText xml:space="preserve"> TOC \o "1-3" </w:instrText>
      </w:r>
      <w:r w:rsidRPr="009F24A4">
        <w:fldChar w:fldCharType="separate"/>
      </w:r>
      <w:r w:rsidR="00ED5423">
        <w:rPr>
          <w:noProof/>
        </w:rPr>
        <w:t>1. Revision history:</w:t>
      </w:r>
      <w:r w:rsidR="00ED5423">
        <w:rPr>
          <w:noProof/>
        </w:rPr>
        <w:tab/>
      </w:r>
      <w:r>
        <w:rPr>
          <w:noProof/>
        </w:rPr>
        <w:fldChar w:fldCharType="begin"/>
      </w:r>
      <w:r w:rsidR="00ED5423">
        <w:rPr>
          <w:noProof/>
        </w:rPr>
        <w:instrText xml:space="preserve"> PAGEREF _Toc246228970 \h </w:instrText>
      </w:r>
      <w:r>
        <w:rPr>
          <w:noProof/>
        </w:rPr>
      </w:r>
      <w:r>
        <w:rPr>
          <w:noProof/>
        </w:rPr>
        <w:fldChar w:fldCharType="separate"/>
      </w:r>
      <w:r w:rsidR="00ED5423">
        <w:rPr>
          <w:noProof/>
        </w:rPr>
        <w:t>ii</w:t>
      </w:r>
      <w:r>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2. Table of Contents</w:t>
      </w:r>
      <w:r>
        <w:rPr>
          <w:noProof/>
        </w:rPr>
        <w:tab/>
      </w:r>
      <w:r w:rsidR="009F24A4">
        <w:rPr>
          <w:noProof/>
        </w:rPr>
        <w:fldChar w:fldCharType="begin"/>
      </w:r>
      <w:r>
        <w:rPr>
          <w:noProof/>
        </w:rPr>
        <w:instrText xml:space="preserve"> PAGEREF _Toc246228971 \h </w:instrText>
      </w:r>
      <w:r w:rsidR="009F24A4">
        <w:rPr>
          <w:noProof/>
        </w:rPr>
      </w:r>
      <w:r w:rsidR="009F24A4">
        <w:rPr>
          <w:noProof/>
        </w:rPr>
        <w:fldChar w:fldCharType="separate"/>
      </w:r>
      <w:r>
        <w:rPr>
          <w:noProof/>
        </w:rPr>
        <w:t>iii</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3. Requirements</w:t>
      </w:r>
      <w:r>
        <w:rPr>
          <w:noProof/>
        </w:rPr>
        <w:tab/>
      </w:r>
      <w:r w:rsidR="009F24A4">
        <w:rPr>
          <w:noProof/>
        </w:rPr>
        <w:fldChar w:fldCharType="begin"/>
      </w:r>
      <w:r>
        <w:rPr>
          <w:noProof/>
        </w:rPr>
        <w:instrText xml:space="preserve"> PAGEREF _Toc246228972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3.1. Overview/Purpose</w:t>
      </w:r>
      <w:r>
        <w:rPr>
          <w:noProof/>
        </w:rPr>
        <w:tab/>
      </w:r>
      <w:r w:rsidR="009F24A4">
        <w:rPr>
          <w:noProof/>
        </w:rPr>
        <w:fldChar w:fldCharType="begin"/>
      </w:r>
      <w:r>
        <w:rPr>
          <w:noProof/>
        </w:rPr>
        <w:instrText xml:space="preserve"> PAGEREF _Toc246228973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3.1.1. Related Customer Requests</w:t>
      </w:r>
      <w:r>
        <w:rPr>
          <w:noProof/>
        </w:rPr>
        <w:tab/>
      </w:r>
      <w:r w:rsidR="009F24A4">
        <w:rPr>
          <w:noProof/>
        </w:rPr>
        <w:fldChar w:fldCharType="begin"/>
      </w:r>
      <w:r>
        <w:rPr>
          <w:noProof/>
        </w:rPr>
        <w:instrText xml:space="preserve"> PAGEREF _Toc246228974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3.2. Use Cases</w:t>
      </w:r>
      <w:r>
        <w:rPr>
          <w:noProof/>
        </w:rPr>
        <w:tab/>
      </w:r>
      <w:r w:rsidR="009F24A4">
        <w:rPr>
          <w:noProof/>
        </w:rPr>
        <w:fldChar w:fldCharType="begin"/>
      </w:r>
      <w:r>
        <w:rPr>
          <w:noProof/>
        </w:rPr>
        <w:instrText xml:space="preserve"> PAGEREF _Toc246228975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sidR="009F24A4">
        <w:rPr>
          <w:noProof/>
        </w:rPr>
        <w:fldChar w:fldCharType="begin"/>
      </w:r>
      <w:r>
        <w:rPr>
          <w:noProof/>
        </w:rPr>
        <w:instrText xml:space="preserve"> PAGEREF _Toc246228976 \h </w:instrText>
      </w:r>
      <w:r w:rsidR="009F24A4">
        <w:rPr>
          <w:noProof/>
        </w:rPr>
      </w:r>
      <w:r w:rsidR="009F24A4">
        <w:rPr>
          <w:noProof/>
        </w:rPr>
        <w:fldChar w:fldCharType="separate"/>
      </w:r>
      <w:r>
        <w:rPr>
          <w:noProof/>
        </w:rPr>
        <w:t>2</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3.3.1. Required Functions</w:t>
      </w:r>
      <w:r>
        <w:rPr>
          <w:noProof/>
        </w:rPr>
        <w:tab/>
      </w:r>
      <w:r w:rsidR="009F24A4">
        <w:rPr>
          <w:noProof/>
        </w:rPr>
        <w:fldChar w:fldCharType="begin"/>
      </w:r>
      <w:r>
        <w:rPr>
          <w:noProof/>
        </w:rPr>
        <w:instrText xml:space="preserve"> PAGEREF _Toc246228977 \h </w:instrText>
      </w:r>
      <w:r w:rsidR="009F24A4">
        <w:rPr>
          <w:noProof/>
        </w:rPr>
      </w:r>
      <w:r w:rsidR="009F24A4">
        <w:rPr>
          <w:noProof/>
        </w:rPr>
        <w:fldChar w:fldCharType="separate"/>
      </w:r>
      <w:r>
        <w:rPr>
          <w:noProof/>
        </w:rPr>
        <w:t>2</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3.3.2. Non-Supported Functions</w:t>
      </w:r>
      <w:r>
        <w:rPr>
          <w:noProof/>
        </w:rPr>
        <w:tab/>
      </w:r>
      <w:r w:rsidR="009F24A4">
        <w:rPr>
          <w:noProof/>
        </w:rPr>
        <w:fldChar w:fldCharType="begin"/>
      </w:r>
      <w:r>
        <w:rPr>
          <w:noProof/>
        </w:rPr>
        <w:instrText xml:space="preserve"> PAGEREF _Toc246228978 \h </w:instrText>
      </w:r>
      <w:r w:rsidR="009F24A4">
        <w:rPr>
          <w:noProof/>
        </w:rPr>
      </w:r>
      <w:r w:rsidR="009F24A4">
        <w:rPr>
          <w:noProof/>
        </w:rPr>
        <w:fldChar w:fldCharType="separate"/>
      </w:r>
      <w:r>
        <w:rPr>
          <w:noProof/>
        </w:rPr>
        <w:t>3</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3.4. Open Questions</w:t>
      </w:r>
      <w:r>
        <w:rPr>
          <w:noProof/>
        </w:rPr>
        <w:tab/>
      </w:r>
      <w:r w:rsidR="009F24A4">
        <w:rPr>
          <w:noProof/>
        </w:rPr>
        <w:fldChar w:fldCharType="begin"/>
      </w:r>
      <w:r>
        <w:rPr>
          <w:noProof/>
        </w:rPr>
        <w:instrText xml:space="preserve"> PAGEREF _Toc246228979 \h </w:instrText>
      </w:r>
      <w:r w:rsidR="009F24A4">
        <w:rPr>
          <w:noProof/>
        </w:rPr>
      </w:r>
      <w:r w:rsidR="009F24A4">
        <w:rPr>
          <w:noProof/>
        </w:rPr>
        <w:fldChar w:fldCharType="separate"/>
      </w:r>
      <w:r>
        <w:rPr>
          <w:noProof/>
        </w:rPr>
        <w:t>4</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4. Functional Design</w:t>
      </w:r>
      <w:r>
        <w:rPr>
          <w:noProof/>
        </w:rPr>
        <w:tab/>
      </w:r>
      <w:r w:rsidR="009F24A4">
        <w:rPr>
          <w:noProof/>
        </w:rPr>
        <w:fldChar w:fldCharType="begin"/>
      </w:r>
      <w:r>
        <w:rPr>
          <w:noProof/>
        </w:rPr>
        <w:instrText xml:space="preserve"> PAGEREF _Toc246228980 \h </w:instrText>
      </w:r>
      <w:r w:rsidR="009F24A4">
        <w:rPr>
          <w:noProof/>
        </w:rPr>
      </w:r>
      <w:r w:rsidR="009F24A4">
        <w:rPr>
          <w:noProof/>
        </w:rPr>
        <w:fldChar w:fldCharType="separate"/>
      </w:r>
      <w:r>
        <w:rPr>
          <w:noProof/>
        </w:rPr>
        <w:t>5</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4.1. User Interfaces</w:t>
      </w:r>
      <w:r>
        <w:rPr>
          <w:noProof/>
        </w:rPr>
        <w:tab/>
      </w:r>
      <w:r w:rsidR="009F24A4">
        <w:rPr>
          <w:noProof/>
        </w:rPr>
        <w:fldChar w:fldCharType="begin"/>
      </w:r>
      <w:r>
        <w:rPr>
          <w:noProof/>
        </w:rPr>
        <w:instrText xml:space="preserve"> PAGEREF _Toc246228981 \h </w:instrText>
      </w:r>
      <w:r w:rsidR="009F24A4">
        <w:rPr>
          <w:noProof/>
        </w:rPr>
      </w:r>
      <w:r w:rsidR="009F24A4">
        <w:rPr>
          <w:noProof/>
        </w:rPr>
        <w:fldChar w:fldCharType="separate"/>
      </w:r>
      <w:r>
        <w:rPr>
          <w:noProof/>
        </w:rPr>
        <w:t>5</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4.2. Installation and Upgrade</w:t>
      </w:r>
      <w:r>
        <w:rPr>
          <w:noProof/>
        </w:rPr>
        <w:tab/>
      </w:r>
      <w:r w:rsidR="009F24A4">
        <w:rPr>
          <w:noProof/>
        </w:rPr>
        <w:fldChar w:fldCharType="begin"/>
      </w:r>
      <w:r>
        <w:rPr>
          <w:noProof/>
        </w:rPr>
        <w:instrText xml:space="preserve"> PAGEREF _Toc246228982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sidR="009F24A4">
        <w:rPr>
          <w:noProof/>
        </w:rPr>
        <w:fldChar w:fldCharType="begin"/>
      </w:r>
      <w:r>
        <w:rPr>
          <w:noProof/>
        </w:rPr>
        <w:instrText xml:space="preserve"> PAGEREF _Toc246228983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4.4. Licensing Issues</w:t>
      </w:r>
      <w:r>
        <w:rPr>
          <w:noProof/>
        </w:rPr>
        <w:tab/>
      </w:r>
      <w:r w:rsidR="009F24A4">
        <w:rPr>
          <w:noProof/>
        </w:rPr>
        <w:fldChar w:fldCharType="begin"/>
      </w:r>
      <w:r>
        <w:rPr>
          <w:noProof/>
        </w:rPr>
        <w:instrText xml:space="preserve"> PAGEREF _Toc246228984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4.5. Dependencies</w:t>
      </w:r>
      <w:r>
        <w:rPr>
          <w:noProof/>
        </w:rPr>
        <w:tab/>
      </w:r>
      <w:r w:rsidR="009F24A4">
        <w:rPr>
          <w:noProof/>
        </w:rPr>
        <w:fldChar w:fldCharType="begin"/>
      </w:r>
      <w:r>
        <w:rPr>
          <w:noProof/>
        </w:rPr>
        <w:instrText xml:space="preserve"> PAGEREF _Toc246228985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4.5.1. Dependencies on Idera Software</w:t>
      </w:r>
      <w:r>
        <w:rPr>
          <w:noProof/>
        </w:rPr>
        <w:tab/>
      </w:r>
      <w:r w:rsidR="009F24A4">
        <w:rPr>
          <w:noProof/>
        </w:rPr>
        <w:fldChar w:fldCharType="begin"/>
      </w:r>
      <w:r>
        <w:rPr>
          <w:noProof/>
        </w:rPr>
        <w:instrText xml:space="preserve"> PAGEREF _Toc246228986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4.5.2. Third-Party Software Required on the Customer Machine</w:t>
      </w:r>
      <w:r>
        <w:rPr>
          <w:noProof/>
        </w:rPr>
        <w:tab/>
      </w:r>
      <w:r w:rsidR="009F24A4">
        <w:rPr>
          <w:noProof/>
        </w:rPr>
        <w:fldChar w:fldCharType="begin"/>
      </w:r>
      <w:r>
        <w:rPr>
          <w:noProof/>
        </w:rPr>
        <w:instrText xml:space="preserve"> PAGEREF _Toc246228987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4.5.3. Third-Party Software Required Internally</w:t>
      </w:r>
      <w:r>
        <w:rPr>
          <w:noProof/>
        </w:rPr>
        <w:tab/>
      </w:r>
      <w:r w:rsidR="009F24A4">
        <w:rPr>
          <w:noProof/>
        </w:rPr>
        <w:fldChar w:fldCharType="begin"/>
      </w:r>
      <w:r>
        <w:rPr>
          <w:noProof/>
        </w:rPr>
        <w:instrText xml:space="preserve"> PAGEREF _Toc246228988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5. Internal Design</w:t>
      </w:r>
      <w:r>
        <w:rPr>
          <w:noProof/>
        </w:rPr>
        <w:tab/>
      </w:r>
      <w:r w:rsidR="009F24A4">
        <w:rPr>
          <w:noProof/>
        </w:rPr>
        <w:fldChar w:fldCharType="begin"/>
      </w:r>
      <w:r>
        <w:rPr>
          <w:noProof/>
        </w:rPr>
        <w:instrText xml:space="preserve"> PAGEREF _Toc246228989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5.1. Architecture</w:t>
      </w:r>
      <w:r>
        <w:rPr>
          <w:noProof/>
        </w:rPr>
        <w:tab/>
      </w:r>
      <w:r w:rsidR="009F24A4">
        <w:rPr>
          <w:noProof/>
        </w:rPr>
        <w:fldChar w:fldCharType="begin"/>
      </w:r>
      <w:r>
        <w:rPr>
          <w:noProof/>
        </w:rPr>
        <w:instrText xml:space="preserve"> PAGEREF _Toc246228990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5.2. Installation Issues</w:t>
      </w:r>
      <w:r>
        <w:rPr>
          <w:noProof/>
        </w:rPr>
        <w:tab/>
      </w:r>
      <w:r w:rsidR="009F24A4">
        <w:rPr>
          <w:noProof/>
        </w:rPr>
        <w:fldChar w:fldCharType="begin"/>
      </w:r>
      <w:r>
        <w:rPr>
          <w:noProof/>
        </w:rPr>
        <w:instrText xml:space="preserve"> PAGEREF _Toc246228991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5.3. Schedule</w:t>
      </w:r>
      <w:r>
        <w:rPr>
          <w:noProof/>
        </w:rPr>
        <w:tab/>
      </w:r>
      <w:r w:rsidR="009F24A4">
        <w:rPr>
          <w:noProof/>
        </w:rPr>
        <w:fldChar w:fldCharType="begin"/>
      </w:r>
      <w:r>
        <w:rPr>
          <w:noProof/>
        </w:rPr>
        <w:instrText xml:space="preserve"> PAGEREF _Toc246228992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5.3.1. Work Breakdown and Sizings</w:t>
      </w:r>
      <w:r>
        <w:rPr>
          <w:noProof/>
        </w:rPr>
        <w:tab/>
      </w:r>
      <w:r w:rsidR="009F24A4">
        <w:rPr>
          <w:noProof/>
        </w:rPr>
        <w:fldChar w:fldCharType="begin"/>
      </w:r>
      <w:r>
        <w:rPr>
          <w:noProof/>
        </w:rPr>
        <w:instrText xml:space="preserve"> PAGEREF _Toc246228993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5.3.2. Areas of Risk</w:t>
      </w:r>
      <w:r>
        <w:rPr>
          <w:noProof/>
        </w:rPr>
        <w:tab/>
      </w:r>
      <w:r w:rsidR="009F24A4">
        <w:rPr>
          <w:noProof/>
        </w:rPr>
        <w:fldChar w:fldCharType="begin"/>
      </w:r>
      <w:r>
        <w:rPr>
          <w:noProof/>
        </w:rPr>
        <w:instrText xml:space="preserve"> PAGEREF _Toc246228994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sidR="009F24A4">
        <w:rPr>
          <w:noProof/>
        </w:rPr>
        <w:fldChar w:fldCharType="begin"/>
      </w:r>
      <w:r>
        <w:rPr>
          <w:noProof/>
        </w:rPr>
        <w:instrText xml:space="preserve"> PAGEREF _Toc246228995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6.1.1. Overview</w:t>
      </w:r>
      <w:r>
        <w:rPr>
          <w:noProof/>
        </w:rPr>
        <w:tab/>
      </w:r>
      <w:r w:rsidR="009F24A4">
        <w:rPr>
          <w:noProof/>
        </w:rPr>
        <w:fldChar w:fldCharType="begin"/>
      </w:r>
      <w:r>
        <w:rPr>
          <w:noProof/>
        </w:rPr>
        <w:instrText xml:space="preserve"> PAGEREF _Toc246228996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sidR="009F24A4">
        <w:rPr>
          <w:noProof/>
        </w:rPr>
        <w:fldChar w:fldCharType="begin"/>
      </w:r>
      <w:r>
        <w:rPr>
          <w:noProof/>
        </w:rPr>
        <w:instrText xml:space="preserve"> PAGEREF _Toc246228997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8. Bibliography</w:t>
      </w:r>
      <w:r>
        <w:rPr>
          <w:noProof/>
        </w:rPr>
        <w:tab/>
      </w:r>
      <w:r w:rsidR="009F24A4">
        <w:rPr>
          <w:noProof/>
        </w:rPr>
        <w:fldChar w:fldCharType="begin"/>
      </w:r>
      <w:r>
        <w:rPr>
          <w:noProof/>
        </w:rPr>
        <w:instrText xml:space="preserve"> PAGEREF _Toc246228998 \h </w:instrText>
      </w:r>
      <w:r w:rsidR="009F24A4">
        <w:rPr>
          <w:noProof/>
        </w:rPr>
      </w:r>
      <w:r w:rsidR="009F24A4">
        <w:rPr>
          <w:noProof/>
        </w:rPr>
        <w:fldChar w:fldCharType="separate"/>
      </w:r>
      <w:r>
        <w:rPr>
          <w:noProof/>
        </w:rPr>
        <w:t>12</w:t>
      </w:r>
      <w:r w:rsidR="009F24A4">
        <w:rPr>
          <w:noProof/>
        </w:rPr>
        <w:fldChar w:fldCharType="end"/>
      </w:r>
    </w:p>
    <w:p w:rsidR="00AA220A" w:rsidRDefault="009F24A4">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4" w:name="_Toc246228972"/>
      <w:bookmarkStart w:id="15" w:name="_Toc360433681"/>
      <w:bookmarkStart w:id="16" w:name="_Toc374866354"/>
      <w:bookmarkStart w:id="17" w:name="_Toc375126852"/>
      <w:bookmarkStart w:id="18" w:name="_Toc375126886"/>
      <w:bookmarkStart w:id="19" w:name="_Toc375126911"/>
      <w:bookmarkStart w:id="20" w:name="_Toc377373037"/>
      <w:bookmarkStart w:id="21" w:name="_Toc378468794"/>
      <w:bookmarkStart w:id="22" w:name="_Toc381264534"/>
      <w:r>
        <w:lastRenderedPageBreak/>
        <w:t>Requirements</w:t>
      </w:r>
      <w:bookmarkEnd w:id="14"/>
    </w:p>
    <w:p w:rsidR="00AA220A" w:rsidRDefault="00AA220A">
      <w:pPr>
        <w:pStyle w:val="Heading2"/>
      </w:pPr>
      <w:bookmarkStart w:id="23" w:name="_Toc246228973"/>
      <w:r>
        <w:t>Overview/Purpose</w:t>
      </w:r>
      <w:bookmarkEnd w:id="9"/>
      <w:bookmarkEnd w:id="10"/>
      <w:bookmarkEnd w:id="11"/>
      <w:bookmarkEnd w:id="12"/>
      <w:bookmarkEnd w:id="13"/>
      <w:bookmarkEnd w:id="15"/>
      <w:bookmarkEnd w:id="16"/>
      <w:bookmarkEnd w:id="17"/>
      <w:bookmarkEnd w:id="18"/>
      <w:bookmarkEnd w:id="19"/>
      <w:bookmarkEnd w:id="20"/>
      <w:bookmarkEnd w:id="21"/>
      <w:bookmarkEnd w:id="22"/>
      <w:bookmarkEnd w:id="23"/>
    </w:p>
    <w:p w:rsidR="00726B56" w:rsidRDefault="00726B56" w:rsidP="00726B56">
      <w:pPr>
        <w:pStyle w:val="BodyText"/>
      </w:pPr>
      <w:r>
        <w:t xml:space="preserve">Many customers have requested the ability to setup alerts based on the operation of the product.  </w:t>
      </w:r>
      <w:r w:rsidR="00F80F73">
        <w:t>F</w:t>
      </w:r>
      <w:r>
        <w:t xml:space="preserve">or example, </w:t>
      </w:r>
      <w:r w:rsidR="00F80F73">
        <w:t xml:space="preserve">when </w:t>
      </w:r>
      <w:r>
        <w:t xml:space="preserve">the collection services loses contact with the agent or the agent trace directory is full, the user is not notified and does not </w:t>
      </w:r>
      <w:r w:rsidR="00F13461">
        <w:t>discover</w:t>
      </w:r>
      <w:r>
        <w:t xml:space="preserve"> that event tracing/processing has stopped.  This feature will provide notification when something is wrong with the operation of SQL</w:t>
      </w:r>
      <w:r w:rsidR="00DF541B">
        <w:t xml:space="preserve"> </w:t>
      </w:r>
      <w:r>
        <w:t>compliance</w:t>
      </w:r>
      <w:r w:rsidR="00DF541B">
        <w:t xml:space="preserve"> manager</w:t>
      </w:r>
      <w:r>
        <w:t>.</w:t>
      </w:r>
    </w:p>
    <w:p w:rsidR="00AA220A" w:rsidRDefault="00AA220A">
      <w:pPr>
        <w:pStyle w:val="Heading3"/>
      </w:pPr>
      <w:bookmarkStart w:id="24" w:name="_Toc246228974"/>
      <w:r>
        <w:t>Related Customer Requests</w:t>
      </w:r>
      <w:bookmarkEnd w:id="24"/>
    </w:p>
    <w:p w:rsidR="00C46ACA" w:rsidRDefault="00C46ACA" w:rsidP="00EF7931">
      <w:pPr>
        <w:pStyle w:val="BodyText"/>
        <w:ind w:left="720"/>
      </w:pPr>
    </w:p>
    <w:p w:rsidR="00E36A7E" w:rsidRDefault="00E36A7E" w:rsidP="00EF7931">
      <w:pPr>
        <w:pStyle w:val="BodyText"/>
        <w:ind w:left="720"/>
      </w:pPr>
      <w:r>
        <w:t>9397 – FRQ:Alerts from SQLcompliance when Agent has lost contact for X days.</w:t>
      </w:r>
    </w:p>
    <w:p w:rsidR="00591AEB" w:rsidRDefault="00591AEB" w:rsidP="00591AEB">
      <w:pPr>
        <w:pStyle w:val="BodyText"/>
        <w:ind w:left="1440"/>
      </w:pPr>
      <w:r>
        <w:t>Lots of customers (too many to count) want an alert when an operational error occurs such as trace directory full or collection services lost contact with an agent.</w:t>
      </w:r>
    </w:p>
    <w:p w:rsidR="00591AEB" w:rsidRDefault="00591AEB" w:rsidP="00591AEB">
      <w:pPr>
        <w:pStyle w:val="BodyText"/>
        <w:ind w:left="720"/>
      </w:pPr>
    </w:p>
    <w:p w:rsidR="00591AEB" w:rsidRDefault="00591AEB" w:rsidP="00591AEB">
      <w:pPr>
        <w:pStyle w:val="BodyText"/>
        <w:ind w:left="720"/>
      </w:pPr>
      <w:r>
        <w:t>10565 – FRQ: Email alerting for errors from the Agent and Collection Services</w:t>
      </w:r>
    </w:p>
    <w:p w:rsidR="00591AEB" w:rsidRDefault="00591AEB" w:rsidP="00591AEB">
      <w:pPr>
        <w:pStyle w:val="BodyText"/>
        <w:ind w:left="720"/>
      </w:pPr>
      <w:r>
        <w:tab/>
        <w:t>This is a clone from 9397.</w:t>
      </w:r>
    </w:p>
    <w:p w:rsidR="00591AEB" w:rsidRDefault="00591AEB" w:rsidP="00591AEB">
      <w:pPr>
        <w:pStyle w:val="BodyText"/>
        <w:ind w:firstLine="720"/>
      </w:pPr>
    </w:p>
    <w:p w:rsidR="00591AEB" w:rsidRDefault="00591AEB" w:rsidP="00591AEB">
      <w:pPr>
        <w:pStyle w:val="BodyText"/>
        <w:ind w:firstLine="720"/>
      </w:pPr>
      <w:r>
        <w:t>10356  - FRQ: Add “Delete Rule” button to “Alert Rules” ribbon</w:t>
      </w:r>
    </w:p>
    <w:p w:rsidR="00591AEB" w:rsidRDefault="00465F75" w:rsidP="00465F75">
      <w:pPr>
        <w:pStyle w:val="BodyText"/>
        <w:ind w:left="1440"/>
      </w:pPr>
      <w:r>
        <w:t>This Alert ribbon in the Administration view will be modified for this feature. It will be very simple to include a Delete button.</w:t>
      </w:r>
    </w:p>
    <w:p w:rsidR="000B65D4" w:rsidRDefault="000B65D4" w:rsidP="000B65D4">
      <w:pPr>
        <w:pStyle w:val="Heading2"/>
      </w:pPr>
      <w:bookmarkStart w:id="25" w:name="_Toc246228975"/>
      <w:r>
        <w:t>Use Cases</w:t>
      </w:r>
      <w:bookmarkEnd w:id="25"/>
    </w:p>
    <w:p w:rsidR="001F4E6F" w:rsidRDefault="001F4E6F" w:rsidP="005C1B46">
      <w:pPr>
        <w:pStyle w:val="BodyText"/>
        <w:numPr>
          <w:ilvl w:val="0"/>
          <w:numId w:val="10"/>
        </w:numPr>
      </w:pPr>
      <w:r>
        <w:t>Users should receive alerts when something is wrong with the operation of SQL compliance.</w:t>
      </w:r>
    </w:p>
    <w:p w:rsidR="001F4E6F" w:rsidRDefault="001F4E6F" w:rsidP="001F4E6F">
      <w:pPr>
        <w:pStyle w:val="BodyText"/>
        <w:numPr>
          <w:ilvl w:val="0"/>
          <w:numId w:val="10"/>
        </w:numPr>
      </w:pPr>
      <w:r>
        <w:t xml:space="preserve">Users should be able to </w:t>
      </w:r>
      <w:r w:rsidR="00953A2B">
        <w:t>view these operational alerts in the alerts view.</w:t>
      </w:r>
    </w:p>
    <w:p w:rsidR="00953A2B" w:rsidRDefault="00953A2B" w:rsidP="001F4E6F">
      <w:pPr>
        <w:pStyle w:val="BodyText"/>
        <w:numPr>
          <w:ilvl w:val="0"/>
          <w:numId w:val="10"/>
        </w:numPr>
      </w:pPr>
      <w:r>
        <w:t>Users should be able to create and configure these alerts from the Alerts ribbon in the Administration view.</w:t>
      </w:r>
    </w:p>
    <w:p w:rsidR="000B65D4" w:rsidRDefault="005C1B46" w:rsidP="005C1B46">
      <w:pPr>
        <w:pStyle w:val="BodyText"/>
        <w:numPr>
          <w:ilvl w:val="0"/>
          <w:numId w:val="10"/>
        </w:numPr>
      </w:pPr>
      <w:r>
        <w:t xml:space="preserve">Users </w:t>
      </w:r>
      <w:r w:rsidR="00F13461">
        <w:t>should receive</w:t>
      </w:r>
      <w:r>
        <w:t xml:space="preserve"> an alert when </w:t>
      </w:r>
      <w:r w:rsidR="001F4E6F">
        <w:t xml:space="preserve">the </w:t>
      </w:r>
      <w:r>
        <w:t xml:space="preserve">collection service loses contact </w:t>
      </w:r>
      <w:r w:rsidR="00926D3C">
        <w:t xml:space="preserve">with </w:t>
      </w:r>
      <w:r w:rsidR="00F13461">
        <w:t>an</w:t>
      </w:r>
      <w:r>
        <w:t xml:space="preserve"> agent.</w:t>
      </w:r>
    </w:p>
    <w:p w:rsidR="001F4E6F" w:rsidRDefault="005C1B46" w:rsidP="001F4E6F">
      <w:pPr>
        <w:pStyle w:val="BodyText"/>
        <w:numPr>
          <w:ilvl w:val="0"/>
          <w:numId w:val="10"/>
        </w:numPr>
      </w:pPr>
      <w:r>
        <w:t>Users should</w:t>
      </w:r>
      <w:r w:rsidR="001F4E6F">
        <w:t xml:space="preserve"> receive an alert when the collection service trace directory is </w:t>
      </w:r>
      <w:r w:rsidR="00926D3C">
        <w:t>greater than a</w:t>
      </w:r>
      <w:r w:rsidR="001F4E6F">
        <w:t xml:space="preserve"> certain percentage full.</w:t>
      </w:r>
    </w:p>
    <w:p w:rsidR="001F4E6F" w:rsidRDefault="001F4E6F" w:rsidP="001F4E6F">
      <w:pPr>
        <w:pStyle w:val="BodyText"/>
        <w:numPr>
          <w:ilvl w:val="0"/>
          <w:numId w:val="10"/>
        </w:numPr>
      </w:pPr>
      <w:r>
        <w:t>Users should receive an alert when the monitored serve</w:t>
      </w:r>
      <w:r w:rsidR="00A51E69">
        <w:t>r’s repository database grows greater than</w:t>
      </w:r>
      <w:r>
        <w:t xml:space="preserve"> a certain size.</w:t>
      </w:r>
    </w:p>
    <w:p w:rsidR="007931D9" w:rsidRDefault="007931D9" w:rsidP="001F4E6F">
      <w:pPr>
        <w:pStyle w:val="BodyText"/>
        <w:numPr>
          <w:ilvl w:val="0"/>
          <w:numId w:val="10"/>
        </w:numPr>
      </w:pPr>
      <w:r>
        <w:t>Users should receive an alert when the sum of all event repository databases and archived event databases is greater than a certain size.</w:t>
      </w:r>
    </w:p>
    <w:p w:rsidR="005C1B46" w:rsidRDefault="001F4E6F" w:rsidP="005C1B46">
      <w:pPr>
        <w:pStyle w:val="BodyText"/>
        <w:numPr>
          <w:ilvl w:val="0"/>
          <w:numId w:val="10"/>
        </w:numPr>
      </w:pPr>
      <w:r>
        <w:t xml:space="preserve">Users should receive an alert when an agent’s trace directory is </w:t>
      </w:r>
      <w:r w:rsidR="00A51E69">
        <w:t>greater than</w:t>
      </w:r>
      <w:r>
        <w:t xml:space="preserve"> certain percentage full.</w:t>
      </w:r>
    </w:p>
    <w:p w:rsidR="001F4E6F" w:rsidRDefault="001F4E6F" w:rsidP="005C1B46">
      <w:pPr>
        <w:pStyle w:val="BodyText"/>
        <w:numPr>
          <w:ilvl w:val="0"/>
          <w:numId w:val="10"/>
        </w:numPr>
      </w:pPr>
      <w:r>
        <w:t xml:space="preserve">Users should receive an alert when an agent </w:t>
      </w:r>
      <w:r w:rsidR="00F13461">
        <w:t>cannot</w:t>
      </w:r>
      <w:r>
        <w:t xml:space="preserve"> communicate with a monitored instance.</w:t>
      </w:r>
    </w:p>
    <w:p w:rsidR="00E961F2" w:rsidRDefault="00E961F2" w:rsidP="00ED5423">
      <w:pPr>
        <w:pStyle w:val="BodyText"/>
        <w:ind w:left="1440"/>
      </w:pPr>
    </w:p>
    <w:p w:rsidR="00AA220A" w:rsidRDefault="00AA220A" w:rsidP="009A2FA9">
      <w:pPr>
        <w:pStyle w:val="Heading2"/>
      </w:pPr>
      <w:bookmarkStart w:id="26" w:name="_Toc246228976"/>
      <w:r>
        <w:lastRenderedPageBreak/>
        <w:t>Feature/Function Market Requirements</w:t>
      </w:r>
      <w:bookmarkEnd w:id="26"/>
    </w:p>
    <w:p w:rsidR="00EF0EF6" w:rsidRDefault="00AA220A" w:rsidP="00EF0EF6">
      <w:pPr>
        <w:pStyle w:val="Heading3"/>
      </w:pPr>
      <w:bookmarkStart w:id="27" w:name="_Toc246228977"/>
      <w:bookmarkStart w:id="28" w:name="_Toc360430711"/>
      <w:bookmarkStart w:id="29" w:name="_Toc360430803"/>
      <w:bookmarkStart w:id="30" w:name="_Toc360431059"/>
      <w:bookmarkStart w:id="31" w:name="_Toc360431524"/>
      <w:bookmarkStart w:id="32" w:name="_Toc360431936"/>
      <w:bookmarkStart w:id="33" w:name="_Toc360433708"/>
      <w:bookmarkStart w:id="34" w:name="_Toc374866370"/>
      <w:bookmarkStart w:id="35" w:name="_Toc375126875"/>
      <w:bookmarkStart w:id="36" w:name="_Toc375126906"/>
      <w:bookmarkStart w:id="37" w:name="_Toc375126931"/>
      <w:bookmarkStart w:id="38" w:name="_Toc377373072"/>
      <w:bookmarkStart w:id="39" w:name="_Toc378468807"/>
      <w:bookmarkStart w:id="40" w:name="_Toc381264547"/>
      <w:r>
        <w:t>Required Functions</w:t>
      </w:r>
      <w:bookmarkEnd w:id="27"/>
    </w:p>
    <w:p w:rsidR="00787989" w:rsidRDefault="00EF7931" w:rsidP="00EF7931">
      <w:pPr>
        <w:pStyle w:val="Heading4"/>
      </w:pPr>
      <w:r>
        <w:t>Collection Server Alerts</w:t>
      </w:r>
    </w:p>
    <w:p w:rsidR="00A158FB" w:rsidRPr="00A158FB" w:rsidRDefault="00A158FB" w:rsidP="00A158FB">
      <w:pPr>
        <w:pStyle w:val="BodyText"/>
      </w:pPr>
    </w:p>
    <w:p w:rsidR="00400057" w:rsidRPr="00FF3EEB" w:rsidRDefault="00400057" w:rsidP="00F37477">
      <w:pPr>
        <w:pStyle w:val="BodyText"/>
        <w:numPr>
          <w:ilvl w:val="0"/>
          <w:numId w:val="7"/>
        </w:numPr>
        <w:rPr>
          <w:b/>
        </w:rPr>
      </w:pPr>
      <w:r>
        <w:t xml:space="preserve">The collection server currently heartbeats every 15 minutes but only writes a timestamp to the repository.  This heartbeat will be changed to generate the operational alerts outlined below.  Also, the heartbeat time will be decreased to </w:t>
      </w:r>
      <w:r w:rsidR="00981681">
        <w:t xml:space="preserve">a default of </w:t>
      </w:r>
      <w:r>
        <w:t>six minutes.</w:t>
      </w:r>
      <w:r w:rsidR="00605688">
        <w:t xml:space="preserve">  This value will </w:t>
      </w:r>
      <w:r w:rsidR="00A51E69">
        <w:t xml:space="preserve">now </w:t>
      </w:r>
      <w:r w:rsidR="00605688">
        <w:t xml:space="preserve">be </w:t>
      </w:r>
      <w:r w:rsidR="00A51E69">
        <w:t xml:space="preserve">user configurable and will be </w:t>
      </w:r>
      <w:r w:rsidR="00FF3EEB">
        <w:t>maintained in the Collection Server Status dialog. See Figure 3 in Section 4.</w:t>
      </w:r>
    </w:p>
    <w:p w:rsidR="003512D6" w:rsidRDefault="00D170BF" w:rsidP="00F37477">
      <w:pPr>
        <w:pStyle w:val="BodyText"/>
        <w:numPr>
          <w:ilvl w:val="0"/>
          <w:numId w:val="7"/>
        </w:numPr>
      </w:pPr>
      <w:r w:rsidRPr="00FF3EEB">
        <w:rPr>
          <w:b/>
        </w:rPr>
        <w:t xml:space="preserve">Trace </w:t>
      </w:r>
      <w:r w:rsidR="00FD3ED1" w:rsidRPr="00FF3EEB">
        <w:rPr>
          <w:b/>
        </w:rPr>
        <w:t xml:space="preserve">File </w:t>
      </w:r>
      <w:r w:rsidRPr="00FF3EEB">
        <w:rPr>
          <w:b/>
        </w:rPr>
        <w:t>Directory Full</w:t>
      </w:r>
      <w:r w:rsidR="00FD3ED1" w:rsidRPr="00FF3EEB">
        <w:rPr>
          <w:b/>
        </w:rPr>
        <w:t xml:space="preserve"> Aler</w:t>
      </w:r>
      <w:r w:rsidR="00FD3ED1" w:rsidRPr="00C640AA">
        <w:rPr>
          <w:b/>
        </w:rPr>
        <w:t>t</w:t>
      </w:r>
      <w:r w:rsidR="00FD3ED1">
        <w:t xml:space="preserve">– </w:t>
      </w:r>
      <w:r w:rsidR="00F44DD0">
        <w:t>Every collection server heartbe</w:t>
      </w:r>
      <w:r w:rsidR="00D25E28">
        <w:t>a</w:t>
      </w:r>
      <w:r w:rsidR="00F44DD0">
        <w:t>t, the collection server will look at the</w:t>
      </w:r>
      <w:r w:rsidR="00FD3ED1">
        <w:t xml:space="preserve"> trace file directory</w:t>
      </w:r>
      <w:r w:rsidR="00F44DD0">
        <w:t>. When it</w:t>
      </w:r>
      <w:r w:rsidR="00FD3ED1">
        <w:t xml:space="preserve"> reaches </w:t>
      </w:r>
      <w:r w:rsidR="00A51E69">
        <w:t xml:space="preserve">or goes above </w:t>
      </w:r>
      <w:r w:rsidR="00FD3ED1">
        <w:t xml:space="preserve">a certain size, an alert will be generated.  </w:t>
      </w:r>
      <w:r w:rsidR="008F70E8">
        <w:t>T</w:t>
      </w:r>
      <w:r w:rsidR="00FD3ED1">
        <w:t>he size will be user configurable</w:t>
      </w:r>
      <w:r w:rsidR="008F70E8">
        <w:t xml:space="preserve"> and the</w:t>
      </w:r>
      <w:r w:rsidR="00981681">
        <w:t xml:space="preserve"> default will be 10GB. </w:t>
      </w:r>
      <w:r w:rsidR="00FD3ED1">
        <w:t>No action will be perform</w:t>
      </w:r>
      <w:r w:rsidR="008B4609">
        <w:t>ed</w:t>
      </w:r>
      <w:r w:rsidR="00FD3ED1">
        <w:t xml:space="preserve"> </w:t>
      </w:r>
      <w:r w:rsidR="008B4609">
        <w:t xml:space="preserve">other </w:t>
      </w:r>
      <w:r w:rsidR="00F13461">
        <w:t>than</w:t>
      </w:r>
      <w:r w:rsidR="008B4609">
        <w:t xml:space="preserve"> sending the alert</w:t>
      </w:r>
      <w:r w:rsidR="00FD3ED1">
        <w:t>.</w:t>
      </w:r>
      <w:r w:rsidR="00EF0EF6">
        <w:t xml:space="preserve">  </w:t>
      </w:r>
      <w:r w:rsidR="00F2158D">
        <w:t xml:space="preserve">Because there is no maximum value and no additional action, this is just an alerting threshold and does not need a percentage of max warning. </w:t>
      </w:r>
      <w:r w:rsidR="00993E00">
        <w:t xml:space="preserve"> </w:t>
      </w:r>
      <w:r w:rsidR="00EF0EF6">
        <w:t>This alert can be disabled.</w:t>
      </w:r>
    </w:p>
    <w:p w:rsidR="00F37477" w:rsidRDefault="00F37477" w:rsidP="00F37477">
      <w:pPr>
        <w:pStyle w:val="BodyText"/>
        <w:numPr>
          <w:ilvl w:val="0"/>
          <w:numId w:val="7"/>
        </w:numPr>
      </w:pPr>
      <w:r w:rsidRPr="00C640AA">
        <w:rPr>
          <w:b/>
        </w:rPr>
        <w:t>Unable to connect to an agent/not receiving heartbeats</w:t>
      </w:r>
      <w:r w:rsidR="00400057">
        <w:t xml:space="preserve"> </w:t>
      </w:r>
      <w:r w:rsidR="00F44DD0">
        <w:t>–Every collection server</w:t>
      </w:r>
      <w:r w:rsidR="00DB03AF">
        <w:t xml:space="preserve"> heartbeat, the collection server will look in the repository for all of the agent heartb</w:t>
      </w:r>
      <w:r w:rsidR="00002351">
        <w:t>eats.  If the difference between the current time and the last agent heartbeat is greater than the agent heartbeat interval, an alert will be generated.  A separate alert will be generated for every agent that has failed to update their heartbeat in the repository.</w:t>
      </w:r>
      <w:r w:rsidR="00EF0EF6">
        <w:t xml:space="preserve"> This alert can be disabled.</w:t>
      </w:r>
    </w:p>
    <w:p w:rsidR="00F37477" w:rsidRDefault="00F37477" w:rsidP="00F37477">
      <w:pPr>
        <w:pStyle w:val="BodyText"/>
        <w:numPr>
          <w:ilvl w:val="0"/>
          <w:numId w:val="7"/>
        </w:numPr>
      </w:pPr>
      <w:r w:rsidRPr="00C640AA">
        <w:rPr>
          <w:b/>
        </w:rPr>
        <w:t>Monitored Server’s repository database grows too big</w:t>
      </w:r>
      <w:r w:rsidR="00C640AA">
        <w:t xml:space="preserve"> </w:t>
      </w:r>
      <w:r w:rsidR="00B640E5">
        <w:t>–</w:t>
      </w:r>
      <w:r w:rsidR="00C640AA">
        <w:t xml:space="preserve"> </w:t>
      </w:r>
      <w:r w:rsidR="00B640E5">
        <w:t xml:space="preserve">Every collection server heartbeat, the collection server will check all of </w:t>
      </w:r>
      <w:r w:rsidR="00981681">
        <w:t xml:space="preserve">the </w:t>
      </w:r>
      <w:r w:rsidR="00B640E5">
        <w:t xml:space="preserve">monitored server’s repository databases. </w:t>
      </w:r>
      <w:r w:rsidR="00DD4A44">
        <w:t xml:space="preserve">If a database has reached or is above a certain size, an alert will be generated.  The default for this value will be 20GB.  </w:t>
      </w:r>
      <w:r w:rsidR="00B640E5">
        <w:t xml:space="preserve">This will be a global value. It will apply to all monitored server repository databases. </w:t>
      </w:r>
      <w:r w:rsidR="00EF0EF6">
        <w:t xml:space="preserve">  This alert can be disabled.</w:t>
      </w:r>
    </w:p>
    <w:p w:rsidR="006A6B15" w:rsidRPr="00483652" w:rsidRDefault="006A6B15" w:rsidP="006A6B15">
      <w:pPr>
        <w:pStyle w:val="BodyText"/>
        <w:numPr>
          <w:ilvl w:val="0"/>
          <w:numId w:val="7"/>
        </w:numPr>
        <w:rPr>
          <w:b/>
        </w:rPr>
      </w:pPr>
      <w:r w:rsidRPr="006A6B15">
        <w:rPr>
          <w:b/>
        </w:rPr>
        <w:t xml:space="preserve">Total Size of All </w:t>
      </w:r>
      <w:r w:rsidR="007931D9">
        <w:rPr>
          <w:b/>
        </w:rPr>
        <w:t xml:space="preserve">Event </w:t>
      </w:r>
      <w:r w:rsidRPr="006A6B15">
        <w:rPr>
          <w:b/>
        </w:rPr>
        <w:t>Repository Database Greater Than Size X</w:t>
      </w:r>
      <w:r>
        <w:rPr>
          <w:b/>
        </w:rPr>
        <w:t xml:space="preserve"> </w:t>
      </w:r>
      <w:r>
        <w:t>- Every collection servier heartbeat, the collection server will get the total of all the repository event databases and all archived event databases.  If the size is greater than a certain value, an alert will be generated.  The default total size will be 100GB.  The SQLCompliance database will not be included because the size of this database is not affected by an increase or decrease in the number of events processed.  This alert can be disabled.</w:t>
      </w:r>
    </w:p>
    <w:p w:rsidR="00483652" w:rsidRPr="006A6B15" w:rsidRDefault="00483652" w:rsidP="00483652">
      <w:pPr>
        <w:pStyle w:val="BodyText"/>
        <w:ind w:left="720"/>
        <w:rPr>
          <w:b/>
        </w:rPr>
      </w:pPr>
    </w:p>
    <w:p w:rsidR="003512D6" w:rsidRDefault="003512D6" w:rsidP="003512D6">
      <w:pPr>
        <w:pStyle w:val="Heading4"/>
      </w:pPr>
      <w:r>
        <w:t>Agent Alerts</w:t>
      </w:r>
    </w:p>
    <w:p w:rsidR="00FF3EEB" w:rsidRPr="00FF3EEB" w:rsidRDefault="00FF3EEB" w:rsidP="00FF3EEB">
      <w:pPr>
        <w:pStyle w:val="BodyText"/>
      </w:pPr>
    </w:p>
    <w:p w:rsidR="00D25E28" w:rsidRPr="00D25E28" w:rsidRDefault="00F37477" w:rsidP="00D25E28">
      <w:pPr>
        <w:pStyle w:val="BodyText"/>
        <w:numPr>
          <w:ilvl w:val="0"/>
          <w:numId w:val="8"/>
        </w:numPr>
        <w:rPr>
          <w:b/>
        </w:rPr>
      </w:pPr>
      <w:r w:rsidRPr="00D25E28">
        <w:rPr>
          <w:b/>
        </w:rPr>
        <w:t>Trace Directory Full</w:t>
      </w:r>
      <w:r w:rsidR="00DD4A44" w:rsidRPr="00D25E28">
        <w:rPr>
          <w:b/>
        </w:rPr>
        <w:t xml:space="preserve"> </w:t>
      </w:r>
      <w:r w:rsidR="00D25E28">
        <w:rPr>
          <w:b/>
        </w:rPr>
        <w:t>–</w:t>
      </w:r>
      <w:r w:rsidR="00DD4A44" w:rsidRPr="00D25E28">
        <w:rPr>
          <w:b/>
        </w:rPr>
        <w:t xml:space="preserve"> </w:t>
      </w:r>
      <w:r w:rsidR="009F6C2D">
        <w:t xml:space="preserve">Every agent heartbeat, </w:t>
      </w:r>
      <w:r w:rsidR="00D25E28">
        <w:t>the trace file directory</w:t>
      </w:r>
      <w:r w:rsidR="009F6C2D">
        <w:t>’s size is checked</w:t>
      </w:r>
      <w:r w:rsidR="00D25E28">
        <w:t xml:space="preserve">.  When it reaches the trace directory size limit, it is reported during the heartbeat and all tracing stops.  </w:t>
      </w:r>
      <w:r w:rsidR="009F6C2D">
        <w:t xml:space="preserve">An </w:t>
      </w:r>
      <w:r w:rsidR="00D25E28">
        <w:t>alert</w:t>
      </w:r>
      <w:r w:rsidR="009F6C2D">
        <w:t xml:space="preserve"> will be generated</w:t>
      </w:r>
      <w:r w:rsidR="00D25E28">
        <w:t xml:space="preserve"> when the trace directory reaches a certain percentage of the trace directory size limit.  The default will be 80%. </w:t>
      </w:r>
    </w:p>
    <w:p w:rsidR="00A158FB" w:rsidRPr="00ED5423" w:rsidRDefault="00F37477" w:rsidP="0061150A">
      <w:pPr>
        <w:pStyle w:val="BodyText"/>
        <w:numPr>
          <w:ilvl w:val="0"/>
          <w:numId w:val="8"/>
        </w:numPr>
        <w:rPr>
          <w:b/>
        </w:rPr>
      </w:pPr>
      <w:r w:rsidRPr="003663FA">
        <w:rPr>
          <w:b/>
        </w:rPr>
        <w:t>Agent unable to communicate with SQL Server</w:t>
      </w:r>
      <w:r w:rsidR="00805335" w:rsidRPr="003663FA">
        <w:rPr>
          <w:b/>
        </w:rPr>
        <w:t xml:space="preserve"> – </w:t>
      </w:r>
      <w:r w:rsidR="003663FA">
        <w:t>Currently, w</w:t>
      </w:r>
      <w:r w:rsidR="00805335">
        <w:t xml:space="preserve">hen </w:t>
      </w:r>
      <w:r w:rsidR="003663FA">
        <w:t>a compliance</w:t>
      </w:r>
      <w:r w:rsidR="00805335">
        <w:t xml:space="preserve"> agent is unable to communicate</w:t>
      </w:r>
      <w:r w:rsidR="003663FA">
        <w:t xml:space="preserve"> with its monitored instance, it adds an entry to the repository.  In addition, an alert will be genterated. (See open question 2)</w:t>
      </w:r>
    </w:p>
    <w:p w:rsidR="00ED5423" w:rsidRDefault="00ED5423" w:rsidP="00ED5423">
      <w:pPr>
        <w:pStyle w:val="BodyText"/>
        <w:ind w:left="720"/>
        <w:rPr>
          <w:b/>
        </w:rPr>
      </w:pPr>
    </w:p>
    <w:p w:rsidR="00483652" w:rsidRDefault="00483652" w:rsidP="00ED5423">
      <w:pPr>
        <w:pStyle w:val="BodyText"/>
        <w:ind w:left="720"/>
        <w:rPr>
          <w:b/>
        </w:rPr>
      </w:pPr>
    </w:p>
    <w:p w:rsidR="00361CBC" w:rsidRDefault="00361CBC" w:rsidP="00361CBC">
      <w:pPr>
        <w:pStyle w:val="Heading4"/>
      </w:pPr>
      <w:r>
        <w:lastRenderedPageBreak/>
        <w:t>Changes to the Alerting Framework</w:t>
      </w:r>
    </w:p>
    <w:p w:rsidR="00FF3EEB" w:rsidRPr="00FF3EEB" w:rsidRDefault="00FF3EEB" w:rsidP="00FF3EEB">
      <w:pPr>
        <w:pStyle w:val="BodyText"/>
      </w:pPr>
    </w:p>
    <w:p w:rsidR="005E1E94" w:rsidRPr="005E1E94" w:rsidRDefault="005E1E94" w:rsidP="005E1E94">
      <w:pPr>
        <w:pStyle w:val="BodyText"/>
        <w:ind w:left="360"/>
      </w:pPr>
      <w:r>
        <w:t>Operational alerts are generated based on the operation of the product and not on events generated on the monitored SQL Server.  They have very little in common.  Therefore,</w:t>
      </w:r>
      <w:r w:rsidR="00291939">
        <w:t xml:space="preserve"> generation of the rules and viewing of the alerts will be separate</w:t>
      </w:r>
      <w:r w:rsidR="00981681">
        <w:t>d</w:t>
      </w:r>
      <w:r w:rsidR="00291939">
        <w:t xml:space="preserve"> for the different type</w:t>
      </w:r>
      <w:r w:rsidR="00981681">
        <w:t>s</w:t>
      </w:r>
      <w:r w:rsidR="00291939">
        <w:t xml:space="preserve">.  </w:t>
      </w:r>
    </w:p>
    <w:p w:rsidR="00291939" w:rsidRDefault="00291939" w:rsidP="005E1E94">
      <w:pPr>
        <w:pStyle w:val="BodyText"/>
        <w:numPr>
          <w:ilvl w:val="0"/>
          <w:numId w:val="11"/>
        </w:numPr>
      </w:pPr>
      <w:r>
        <w:t xml:space="preserve">The current alerts will be </w:t>
      </w:r>
      <w:r w:rsidR="00F13461">
        <w:t>renamed “</w:t>
      </w:r>
      <w:r>
        <w:t>Event Alerts”.  Every place in the console that currently uses the word “Alert” will be changed to “Event Alert”.</w:t>
      </w:r>
    </w:p>
    <w:p w:rsidR="00291939" w:rsidRDefault="00291939" w:rsidP="005E1E94">
      <w:pPr>
        <w:pStyle w:val="BodyText"/>
        <w:numPr>
          <w:ilvl w:val="0"/>
          <w:numId w:val="11"/>
        </w:numPr>
      </w:pPr>
      <w:r>
        <w:t xml:space="preserve">The Alert Rule ribbon is </w:t>
      </w:r>
      <w:r w:rsidR="00FF19C7">
        <w:t xml:space="preserve">being </w:t>
      </w:r>
      <w:r>
        <w:t xml:space="preserve">redesigned to </w:t>
      </w:r>
      <w:r w:rsidR="00F13461">
        <w:t>accommodate</w:t>
      </w:r>
      <w:r w:rsidR="0035622C">
        <w:t xml:space="preserve"> the separation</w:t>
      </w:r>
      <w:r>
        <w:t xml:space="preserve"> of the two event types.  </w:t>
      </w:r>
      <w:r w:rsidR="00FF19C7">
        <w:t>See option 1 and option 2 in Section 4.</w:t>
      </w:r>
    </w:p>
    <w:p w:rsidR="005E1E94" w:rsidRDefault="00F13461" w:rsidP="00291939">
      <w:pPr>
        <w:pStyle w:val="BodyText"/>
        <w:numPr>
          <w:ilvl w:val="0"/>
          <w:numId w:val="11"/>
        </w:numPr>
      </w:pPr>
      <w:r>
        <w:t xml:space="preserve">A new wizard is being created to </w:t>
      </w:r>
      <w:r w:rsidR="00657A4B">
        <w:t>maintain</w:t>
      </w:r>
      <w:r>
        <w:t xml:space="preserve"> operational alert rules.  See Figure 2 in Section 4.</w:t>
      </w:r>
    </w:p>
    <w:p w:rsidR="0061150A" w:rsidRDefault="0005492A" w:rsidP="00291939">
      <w:pPr>
        <w:pStyle w:val="BodyText"/>
        <w:numPr>
          <w:ilvl w:val="0"/>
          <w:numId w:val="11"/>
        </w:numPr>
      </w:pPr>
      <w:r>
        <w:t xml:space="preserve">The operational alerts will </w:t>
      </w:r>
      <w:r w:rsidR="0035622C">
        <w:t>apply to either</w:t>
      </w:r>
      <w:r>
        <w:t xml:space="preserve"> all audited servers</w:t>
      </w:r>
      <w:r w:rsidR="0035622C">
        <w:t xml:space="preserve"> or the collection server only</w:t>
      </w:r>
      <w:r>
        <w:t xml:space="preserve">. </w:t>
      </w:r>
      <w:r w:rsidR="003210D6">
        <w:t xml:space="preserve">A new tab </w:t>
      </w:r>
      <w:r>
        <w:t xml:space="preserve">for viewing the operational alerts </w:t>
      </w:r>
      <w:r w:rsidR="003210D6">
        <w:t xml:space="preserve">will be added to the Audited SQL Servers Ribbon.  </w:t>
      </w:r>
      <w:r w:rsidR="005E1E94">
        <w:t xml:space="preserve">See Figure </w:t>
      </w:r>
      <w:r>
        <w:t>1 in Section 4</w:t>
      </w:r>
      <w:r w:rsidR="003210D6">
        <w:t>.</w:t>
      </w:r>
    </w:p>
    <w:p w:rsidR="00817BA0" w:rsidRDefault="00817BA0" w:rsidP="00E961F2">
      <w:pPr>
        <w:pStyle w:val="BodyText"/>
        <w:ind w:left="720"/>
      </w:pPr>
    </w:p>
    <w:p w:rsidR="00AA220A" w:rsidRDefault="00AA220A">
      <w:pPr>
        <w:pStyle w:val="Heading3"/>
      </w:pPr>
      <w:bookmarkStart w:id="41" w:name="_Toc246228978"/>
      <w:r>
        <w:t>Non-Supported Functions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FD3ED1" w:rsidRDefault="00E706CB" w:rsidP="0005492A">
      <w:pPr>
        <w:pStyle w:val="BodyText"/>
        <w:numPr>
          <w:ilvl w:val="0"/>
          <w:numId w:val="14"/>
        </w:numPr>
      </w:pPr>
      <w:bookmarkStart w:id="42" w:name="_Toc378468801"/>
      <w:bookmarkStart w:id="43" w:name="_Toc381264541"/>
      <w:bookmarkStart w:id="44" w:name="_Toc360430704"/>
      <w:bookmarkStart w:id="45" w:name="_Toc360430796"/>
      <w:bookmarkStart w:id="46" w:name="_Toc360431052"/>
      <w:bookmarkStart w:id="47" w:name="_Toc360431516"/>
      <w:bookmarkStart w:id="48" w:name="_Toc360431928"/>
      <w:bookmarkStart w:id="49" w:name="_Toc360433700"/>
      <w:bookmarkStart w:id="50" w:name="_Toc374866368"/>
      <w:bookmarkStart w:id="51" w:name="_Toc375126866"/>
      <w:bookmarkStart w:id="52" w:name="_Toc375126897"/>
      <w:bookmarkStart w:id="53" w:name="_Toc375126922"/>
      <w:bookmarkStart w:id="54" w:name="_Toc377373058"/>
      <w:r>
        <w:t xml:space="preserve">This feature </w:t>
      </w:r>
      <w:r w:rsidR="0005492A">
        <w:t xml:space="preserve">will not </w:t>
      </w:r>
      <w:r w:rsidR="00F13461">
        <w:t>include</w:t>
      </w:r>
      <w:r w:rsidR="0005492A">
        <w:t xml:space="preserve"> alerts </w:t>
      </w:r>
      <w:r>
        <w:t xml:space="preserve">when </w:t>
      </w:r>
      <w:r w:rsidR="0005492A">
        <w:t>an</w:t>
      </w:r>
      <w:r w:rsidR="005C22D4">
        <w:t xml:space="preserve"> agent cannot </w:t>
      </w:r>
      <w:r>
        <w:t>communicate with</w:t>
      </w:r>
      <w:r w:rsidR="005C22D4">
        <w:t xml:space="preserve"> the collection service.</w:t>
      </w:r>
    </w:p>
    <w:p w:rsidR="0005492A" w:rsidRDefault="0005492A" w:rsidP="0005492A">
      <w:pPr>
        <w:pStyle w:val="BodyText"/>
        <w:numPr>
          <w:ilvl w:val="0"/>
          <w:numId w:val="14"/>
        </w:numPr>
      </w:pPr>
      <w:r>
        <w:t>Operational Alerts will not be included in the Activity Report Card or Auditing Thresholds</w:t>
      </w:r>
    </w:p>
    <w:p w:rsidR="00023A9D" w:rsidRDefault="00023A9D" w:rsidP="00023A9D">
      <w:pPr>
        <w:pStyle w:val="BodyText"/>
      </w:pPr>
    </w:p>
    <w:p w:rsidR="00023A9D" w:rsidRDefault="00023A9D" w:rsidP="00023A9D">
      <w:pPr>
        <w:pStyle w:val="Heading4"/>
      </w:pPr>
      <w:r>
        <w:t>PRs Related to Alerting</w:t>
      </w:r>
    </w:p>
    <w:p w:rsidR="00023A9D" w:rsidRPr="00023A9D" w:rsidRDefault="00023A9D" w:rsidP="00023A9D">
      <w:pPr>
        <w:ind w:left="720"/>
        <w:rPr>
          <w:color w:val="000000" w:themeColor="text1"/>
        </w:rPr>
      </w:pPr>
      <w:r w:rsidRPr="00023A9D">
        <w:rPr>
          <w:color w:val="000000" w:themeColor="text1"/>
        </w:rPr>
        <w:t xml:space="preserve">Here </w:t>
      </w:r>
      <w:r>
        <w:rPr>
          <w:color w:val="000000" w:themeColor="text1"/>
        </w:rPr>
        <w:t>are the PRs that are related to alerting that should be considered for future releases.</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Threshold based alerting</w:t>
      </w:r>
    </w:p>
    <w:p w:rsidR="00023A9D" w:rsidRPr="00023A9D" w:rsidRDefault="00023A9D" w:rsidP="00023A9D">
      <w:pPr>
        <w:ind w:left="720"/>
        <w:rPr>
          <w:color w:val="000000" w:themeColor="text1"/>
        </w:rPr>
      </w:pPr>
      <w:r w:rsidRPr="00023A9D">
        <w:rPr>
          <w:color w:val="000000" w:themeColor="text1"/>
        </w:rPr>
        <w:t>10655</w:t>
      </w:r>
    </w:p>
    <w:p w:rsidR="00023A9D" w:rsidRPr="00023A9D" w:rsidRDefault="00023A9D" w:rsidP="00023A9D">
      <w:pPr>
        <w:ind w:left="720"/>
        <w:rPr>
          <w:color w:val="000000" w:themeColor="text1"/>
        </w:rPr>
      </w:pPr>
      <w:r w:rsidRPr="00023A9D">
        <w:rPr>
          <w:color w:val="000000" w:themeColor="text1"/>
        </w:rPr>
        <w:t>10584</w:t>
      </w:r>
    </w:p>
    <w:p w:rsidR="00023A9D" w:rsidRPr="00023A9D" w:rsidRDefault="00023A9D" w:rsidP="00023A9D">
      <w:pPr>
        <w:ind w:left="720"/>
        <w:rPr>
          <w:color w:val="000000" w:themeColor="text1"/>
        </w:rPr>
      </w:pPr>
      <w:r w:rsidRPr="00023A9D">
        <w:rPr>
          <w:color w:val="000000" w:themeColor="text1"/>
        </w:rPr>
        <w:t>10533</w:t>
      </w:r>
    </w:p>
    <w:p w:rsidR="00023A9D" w:rsidRPr="00023A9D" w:rsidRDefault="00023A9D" w:rsidP="00023A9D">
      <w:pPr>
        <w:ind w:left="720"/>
        <w:rPr>
          <w:color w:val="000000" w:themeColor="text1"/>
        </w:rPr>
      </w:pPr>
      <w:r w:rsidRPr="00023A9D">
        <w:rPr>
          <w:color w:val="000000" w:themeColor="text1"/>
        </w:rPr>
        <w:t>10432</w:t>
      </w:r>
    </w:p>
    <w:p w:rsidR="00023A9D" w:rsidRPr="00023A9D" w:rsidRDefault="00023A9D" w:rsidP="00023A9D">
      <w:pPr>
        <w:ind w:left="720"/>
        <w:rPr>
          <w:color w:val="000000" w:themeColor="text1"/>
        </w:rPr>
      </w:pPr>
      <w:r w:rsidRPr="00023A9D">
        <w:rPr>
          <w:color w:val="000000" w:themeColor="text1"/>
        </w:rPr>
        <w:t>9047</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Alert on compliance errors</w:t>
      </w:r>
    </w:p>
    <w:p w:rsidR="00023A9D" w:rsidRPr="00023A9D" w:rsidRDefault="00023A9D" w:rsidP="00023A9D">
      <w:pPr>
        <w:ind w:left="720"/>
        <w:rPr>
          <w:color w:val="000000" w:themeColor="text1"/>
        </w:rPr>
      </w:pPr>
      <w:r w:rsidRPr="00023A9D">
        <w:rPr>
          <w:color w:val="000000" w:themeColor="text1"/>
        </w:rPr>
        <w:t>10565    - mentioned in Specs</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Enable/Disable alerting on a schedule</w:t>
      </w:r>
    </w:p>
    <w:p w:rsidR="00023A9D" w:rsidRPr="00023A9D" w:rsidRDefault="00023A9D" w:rsidP="00023A9D">
      <w:pPr>
        <w:ind w:left="720"/>
        <w:rPr>
          <w:color w:val="000000" w:themeColor="text1"/>
        </w:rPr>
      </w:pPr>
      <w:r w:rsidRPr="00023A9D">
        <w:rPr>
          <w:color w:val="000000" w:themeColor="text1"/>
        </w:rPr>
        <w:t>10561</w:t>
      </w:r>
    </w:p>
    <w:p w:rsidR="00023A9D" w:rsidRPr="00023A9D" w:rsidRDefault="00023A9D" w:rsidP="00023A9D">
      <w:pPr>
        <w:ind w:left="720"/>
        <w:rPr>
          <w:color w:val="000000" w:themeColor="text1"/>
        </w:rPr>
      </w:pPr>
      <w:r w:rsidRPr="00023A9D">
        <w:rPr>
          <w:color w:val="000000" w:themeColor="text1"/>
        </w:rPr>
        <w:t>10510</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Configure Alert Rules from user file or table</w:t>
      </w:r>
    </w:p>
    <w:p w:rsidR="00023A9D" w:rsidRPr="00023A9D" w:rsidRDefault="00023A9D" w:rsidP="00023A9D">
      <w:pPr>
        <w:ind w:left="720"/>
        <w:rPr>
          <w:color w:val="000000" w:themeColor="text1"/>
        </w:rPr>
      </w:pPr>
      <w:r w:rsidRPr="00023A9D">
        <w:rPr>
          <w:color w:val="000000" w:themeColor="text1"/>
        </w:rPr>
        <w:t>10654</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Alert on any trace column</w:t>
      </w:r>
    </w:p>
    <w:p w:rsidR="00023A9D" w:rsidRPr="00023A9D" w:rsidRDefault="00023A9D" w:rsidP="00023A9D">
      <w:pPr>
        <w:ind w:left="720"/>
        <w:rPr>
          <w:color w:val="000000" w:themeColor="text1"/>
        </w:rPr>
      </w:pPr>
      <w:r w:rsidRPr="00023A9D">
        <w:rPr>
          <w:color w:val="000000" w:themeColor="text1"/>
        </w:rPr>
        <w:t>10549</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Alert on data changes</w:t>
      </w:r>
    </w:p>
    <w:p w:rsidR="00023A9D" w:rsidRPr="00023A9D" w:rsidRDefault="00023A9D" w:rsidP="00023A9D">
      <w:pPr>
        <w:ind w:left="720"/>
        <w:rPr>
          <w:color w:val="000000" w:themeColor="text1"/>
        </w:rPr>
      </w:pPr>
      <w:r w:rsidRPr="00023A9D">
        <w:rPr>
          <w:color w:val="000000" w:themeColor="text1"/>
        </w:rPr>
        <w:t>10541    - already in POR</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More alerting configuration options</w:t>
      </w:r>
    </w:p>
    <w:p w:rsidR="00023A9D" w:rsidRPr="00023A9D" w:rsidRDefault="00023A9D" w:rsidP="00023A9D">
      <w:pPr>
        <w:ind w:left="720"/>
        <w:rPr>
          <w:color w:val="000000" w:themeColor="text1"/>
        </w:rPr>
      </w:pPr>
      <w:r w:rsidRPr="00023A9D">
        <w:rPr>
          <w:color w:val="000000" w:themeColor="text1"/>
        </w:rPr>
        <w:lastRenderedPageBreak/>
        <w:t>10452</w:t>
      </w:r>
    </w:p>
    <w:p w:rsidR="00023A9D" w:rsidRPr="00023A9D" w:rsidRDefault="00023A9D" w:rsidP="00023A9D">
      <w:pPr>
        <w:ind w:left="720"/>
        <w:rPr>
          <w:color w:val="000000" w:themeColor="text1"/>
        </w:rPr>
      </w:pPr>
      <w:r w:rsidRPr="00023A9D">
        <w:rPr>
          <w:color w:val="000000" w:themeColor="text1"/>
        </w:rPr>
        <w:t>10438</w:t>
      </w:r>
    </w:p>
    <w:p w:rsidR="00023A9D" w:rsidRPr="00023A9D" w:rsidRDefault="00023A9D" w:rsidP="00023A9D">
      <w:pPr>
        <w:ind w:left="720"/>
        <w:rPr>
          <w:color w:val="000000" w:themeColor="text1"/>
        </w:rPr>
      </w:pPr>
      <w:r w:rsidRPr="00023A9D">
        <w:rPr>
          <w:color w:val="000000" w:themeColor="text1"/>
        </w:rPr>
        <w:t>10434</w:t>
      </w:r>
    </w:p>
    <w:p w:rsidR="00023A9D" w:rsidRPr="00023A9D" w:rsidRDefault="00023A9D" w:rsidP="00023A9D">
      <w:pPr>
        <w:ind w:left="720"/>
        <w:rPr>
          <w:color w:val="000000" w:themeColor="text1"/>
        </w:rPr>
      </w:pPr>
      <w:r w:rsidRPr="00023A9D">
        <w:rPr>
          <w:color w:val="000000" w:themeColor="text1"/>
        </w:rPr>
        <w:t>9424</w:t>
      </w:r>
    </w:p>
    <w:p w:rsidR="00023A9D" w:rsidRPr="00023A9D" w:rsidRDefault="00023A9D" w:rsidP="00023A9D">
      <w:pPr>
        <w:ind w:left="720"/>
        <w:rPr>
          <w:color w:val="000000" w:themeColor="text1"/>
        </w:rPr>
      </w:pPr>
      <w:r w:rsidRPr="00023A9D">
        <w:rPr>
          <w:color w:val="000000" w:themeColor="text1"/>
        </w:rPr>
        <w:t>8903       - Delete of alert rules (this one should be added to the specs)</w:t>
      </w:r>
    </w:p>
    <w:p w:rsidR="00023A9D" w:rsidRPr="00023A9D" w:rsidRDefault="00023A9D" w:rsidP="00023A9D">
      <w:pPr>
        <w:ind w:left="720"/>
        <w:rPr>
          <w:color w:val="000000" w:themeColor="text1"/>
        </w:rPr>
      </w:pPr>
    </w:p>
    <w:p w:rsidR="00023A9D" w:rsidRDefault="00023A9D" w:rsidP="00023A9D">
      <w:pPr>
        <w:ind w:left="720"/>
        <w:rPr>
          <w:color w:val="000000" w:themeColor="text1"/>
        </w:rPr>
      </w:pPr>
      <w:r w:rsidRPr="00023A9D">
        <w:rPr>
          <w:color w:val="000000" w:themeColor="text1"/>
        </w:rPr>
        <w:t>Alert on SQLcompliance events</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10467    - Alert if integrity check fails (and schedule integrity check from the console which would go well with grooming/archiving scheduling)</w:t>
      </w:r>
    </w:p>
    <w:p w:rsidR="00023A9D" w:rsidRPr="00023A9D" w:rsidRDefault="00023A9D" w:rsidP="00023A9D">
      <w:pPr>
        <w:ind w:left="720"/>
        <w:rPr>
          <w:color w:val="000000" w:themeColor="text1"/>
        </w:rPr>
      </w:pPr>
      <w:r w:rsidRPr="00023A9D">
        <w:rPr>
          <w:color w:val="000000" w:themeColor="text1"/>
        </w:rPr>
        <w:t>10428    - Alert when audit configuration changes</w:t>
      </w:r>
    </w:p>
    <w:p w:rsidR="00023A9D" w:rsidRPr="00023A9D" w:rsidRDefault="00023A9D" w:rsidP="00023A9D">
      <w:pPr>
        <w:ind w:left="720"/>
        <w:rPr>
          <w:color w:val="000000" w:themeColor="text1"/>
        </w:rPr>
      </w:pPr>
      <w:r w:rsidRPr="00023A9D">
        <w:rPr>
          <w:color w:val="000000" w:themeColor="text1"/>
        </w:rPr>
        <w:t>9685       - Alert on change log events like integrity check, grooming, etc.</w:t>
      </w:r>
    </w:p>
    <w:p w:rsidR="00023A9D" w:rsidRPr="00023A9D" w:rsidRDefault="00023A9D" w:rsidP="00023A9D">
      <w:pPr>
        <w:ind w:left="720"/>
        <w:rPr>
          <w:color w:val="000000" w:themeColor="text1"/>
        </w:rPr>
      </w:pPr>
      <w:r w:rsidRPr="00023A9D">
        <w:rPr>
          <w:color w:val="000000" w:themeColor="text1"/>
        </w:rPr>
        <w:t>9353       - Alert on trace tampering detection</w:t>
      </w:r>
    </w:p>
    <w:p w:rsidR="00023A9D" w:rsidRPr="00023A9D" w:rsidRDefault="00023A9D" w:rsidP="00023A9D">
      <w:pPr>
        <w:ind w:left="720"/>
        <w:rPr>
          <w:color w:val="000000" w:themeColor="text1"/>
        </w:rPr>
      </w:pPr>
      <w:r w:rsidRPr="00023A9D">
        <w:rPr>
          <w:color w:val="000000" w:themeColor="text1"/>
        </w:rPr>
        <w:t>6904       - No msg if integrity check fails</w:t>
      </w:r>
    </w:p>
    <w:p w:rsidR="00023A9D" w:rsidRPr="00023A9D" w:rsidRDefault="00023A9D" w:rsidP="00023A9D">
      <w:pPr>
        <w:ind w:left="720"/>
        <w:rPr>
          <w:color w:val="000000" w:themeColor="text1"/>
        </w:rPr>
      </w:pPr>
      <w:r w:rsidRPr="00023A9D">
        <w:rPr>
          <w:color w:val="000000" w:themeColor="text1"/>
        </w:rPr>
        <w:t>6558       - no msg if archive fails</w:t>
      </w:r>
    </w:p>
    <w:p w:rsidR="00023A9D" w:rsidRPr="00023A9D" w:rsidRDefault="00023A9D" w:rsidP="00023A9D">
      <w:pPr>
        <w:ind w:left="720"/>
        <w:rPr>
          <w:color w:val="000000" w:themeColor="text1"/>
        </w:rPr>
      </w:pPr>
      <w:r w:rsidRPr="00023A9D">
        <w:rPr>
          <w:color w:val="000000" w:themeColor="text1"/>
        </w:rPr>
        <w:t>6160       - Alert when application event log is full (not really a compliance event, but it fits the model of these)</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Alert on BAD changes</w:t>
      </w:r>
    </w:p>
    <w:p w:rsidR="00023A9D" w:rsidRPr="00023A9D" w:rsidRDefault="00023A9D" w:rsidP="00023A9D">
      <w:pPr>
        <w:ind w:left="720"/>
        <w:rPr>
          <w:color w:val="000000" w:themeColor="text1"/>
        </w:rPr>
      </w:pPr>
      <w:r w:rsidRPr="00023A9D">
        <w:rPr>
          <w:color w:val="000000" w:themeColor="text1"/>
        </w:rPr>
        <w:t xml:space="preserve">10322    - Note this was a QA PR </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Consolidate multiple events into one alert</w:t>
      </w:r>
    </w:p>
    <w:p w:rsidR="00023A9D" w:rsidRPr="00023A9D" w:rsidRDefault="00023A9D" w:rsidP="00023A9D">
      <w:pPr>
        <w:ind w:left="720"/>
        <w:rPr>
          <w:color w:val="000000" w:themeColor="text1"/>
        </w:rPr>
      </w:pPr>
      <w:r w:rsidRPr="00023A9D">
        <w:rPr>
          <w:color w:val="000000" w:themeColor="text1"/>
        </w:rPr>
        <w:t>10320    - Note this was a QA PR</w:t>
      </w:r>
    </w:p>
    <w:p w:rsidR="00023A9D" w:rsidRPr="00023A9D" w:rsidRDefault="00023A9D" w:rsidP="00023A9D">
      <w:pPr>
        <w:ind w:left="720"/>
        <w:rPr>
          <w:color w:val="000000" w:themeColor="text1"/>
        </w:rPr>
      </w:pPr>
      <w:r w:rsidRPr="00023A9D">
        <w:rPr>
          <w:color w:val="000000" w:themeColor="text1"/>
        </w:rPr>
        <w:t>9390</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Configuring email notifications</w:t>
      </w:r>
    </w:p>
    <w:p w:rsidR="00023A9D" w:rsidRPr="00023A9D" w:rsidRDefault="00023A9D" w:rsidP="00023A9D">
      <w:pPr>
        <w:ind w:left="720"/>
        <w:rPr>
          <w:color w:val="000000" w:themeColor="text1"/>
        </w:rPr>
      </w:pPr>
      <w:r w:rsidRPr="00023A9D">
        <w:rPr>
          <w:color w:val="000000" w:themeColor="text1"/>
        </w:rPr>
        <w:t>10319    - Make sure email is configured properly when creating email alerts . Note this was a QA PR</w:t>
      </w:r>
    </w:p>
    <w:p w:rsidR="00023A9D" w:rsidRPr="00023A9D" w:rsidRDefault="00023A9D" w:rsidP="00023A9D">
      <w:pPr>
        <w:ind w:left="720"/>
        <w:rPr>
          <w:color w:val="000000" w:themeColor="text1"/>
        </w:rPr>
      </w:pPr>
      <w:r w:rsidRPr="00023A9D">
        <w:rPr>
          <w:color w:val="000000" w:themeColor="text1"/>
        </w:rPr>
        <w:t>9813       - Notify user when email address is removed from an alert rule</w:t>
      </w:r>
    </w:p>
    <w:p w:rsidR="00023A9D" w:rsidRPr="00023A9D" w:rsidRDefault="00023A9D" w:rsidP="00023A9D">
      <w:pPr>
        <w:ind w:left="720"/>
        <w:rPr>
          <w:color w:val="000000" w:themeColor="text1"/>
        </w:rPr>
      </w:pPr>
      <w:r w:rsidRPr="00023A9D">
        <w:rPr>
          <w:color w:val="000000" w:themeColor="text1"/>
        </w:rPr>
        <w:t>9554       - Changing settings does not generate change log event</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Alert processing</w:t>
      </w:r>
    </w:p>
    <w:p w:rsidR="00023A9D" w:rsidRPr="00023A9D" w:rsidRDefault="00023A9D" w:rsidP="00023A9D">
      <w:pPr>
        <w:ind w:left="720"/>
        <w:rPr>
          <w:color w:val="000000" w:themeColor="text1"/>
        </w:rPr>
      </w:pPr>
      <w:r w:rsidRPr="00023A9D">
        <w:rPr>
          <w:color w:val="000000" w:themeColor="text1"/>
        </w:rPr>
        <w:t>10250    - Handle bad email address in Send To field correctly and still send to good ones</w:t>
      </w:r>
    </w:p>
    <w:p w:rsidR="00023A9D" w:rsidRPr="00023A9D" w:rsidRDefault="00023A9D" w:rsidP="00023A9D">
      <w:pPr>
        <w:ind w:left="720"/>
        <w:rPr>
          <w:color w:val="000000" w:themeColor="text1"/>
        </w:rPr>
      </w:pPr>
      <w:r w:rsidRPr="00023A9D">
        <w:rPr>
          <w:color w:val="000000" w:themeColor="text1"/>
        </w:rPr>
        <w:t>9317       - log if alert email fails</w:t>
      </w:r>
    </w:p>
    <w:p w:rsidR="00023A9D" w:rsidRPr="00023A9D" w:rsidRDefault="00023A9D" w:rsidP="00023A9D">
      <w:pPr>
        <w:ind w:left="720"/>
        <w:rPr>
          <w:color w:val="000000" w:themeColor="text1"/>
        </w:rPr>
      </w:pPr>
      <w:r w:rsidRPr="00023A9D">
        <w:rPr>
          <w:color w:val="000000" w:themeColor="text1"/>
        </w:rPr>
        <w:t>9013       - alert if stops processing dml or ddl</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Acknowledge Alerts</w:t>
      </w:r>
    </w:p>
    <w:p w:rsidR="00023A9D" w:rsidRPr="00023A9D" w:rsidRDefault="00023A9D" w:rsidP="00023A9D">
      <w:pPr>
        <w:ind w:left="720"/>
        <w:rPr>
          <w:color w:val="000000" w:themeColor="text1"/>
        </w:rPr>
      </w:pPr>
      <w:r w:rsidRPr="00023A9D">
        <w:rPr>
          <w:color w:val="000000" w:themeColor="text1"/>
        </w:rPr>
        <w:t>9511</w:t>
      </w:r>
    </w:p>
    <w:p w:rsidR="00023A9D" w:rsidRPr="00023A9D" w:rsidRDefault="00023A9D" w:rsidP="00023A9D">
      <w:pPr>
        <w:ind w:left="720"/>
        <w:rPr>
          <w:color w:val="000000" w:themeColor="text1"/>
        </w:rPr>
      </w:pPr>
    </w:p>
    <w:p w:rsidR="00023A9D" w:rsidRPr="00023A9D" w:rsidRDefault="00023A9D" w:rsidP="00023A9D">
      <w:pPr>
        <w:ind w:left="720"/>
        <w:rPr>
          <w:color w:val="000000" w:themeColor="text1"/>
        </w:rPr>
      </w:pPr>
      <w:r w:rsidRPr="00023A9D">
        <w:rPr>
          <w:color w:val="000000" w:themeColor="text1"/>
        </w:rPr>
        <w:t>Create an alert rule from an event</w:t>
      </w:r>
    </w:p>
    <w:p w:rsidR="00023A9D" w:rsidRPr="00023A9D" w:rsidRDefault="00023A9D" w:rsidP="00023A9D">
      <w:pPr>
        <w:ind w:left="720"/>
        <w:rPr>
          <w:color w:val="000000" w:themeColor="text1"/>
        </w:rPr>
      </w:pPr>
      <w:r w:rsidRPr="00023A9D">
        <w:rPr>
          <w:color w:val="000000" w:themeColor="text1"/>
        </w:rPr>
        <w:t>9371</w:t>
      </w:r>
    </w:p>
    <w:p w:rsidR="00023A9D" w:rsidRPr="00023A9D" w:rsidRDefault="00023A9D" w:rsidP="00023A9D">
      <w:pPr>
        <w:pStyle w:val="BodyText"/>
      </w:pPr>
    </w:p>
    <w:p w:rsidR="00A158FB" w:rsidRDefault="00A158FB" w:rsidP="00E706CB">
      <w:pPr>
        <w:pStyle w:val="BodyText"/>
        <w:ind w:left="720"/>
      </w:pPr>
    </w:p>
    <w:p w:rsidR="00E961F2" w:rsidRDefault="00E961F2" w:rsidP="00E706CB">
      <w:pPr>
        <w:pStyle w:val="BodyText"/>
        <w:ind w:left="720"/>
      </w:pPr>
    </w:p>
    <w:p w:rsidR="009670DE" w:rsidRDefault="009670DE" w:rsidP="00FD3ED1">
      <w:pPr>
        <w:pStyle w:val="Heading2"/>
      </w:pPr>
      <w:bookmarkStart w:id="55" w:name="_Toc246228979"/>
      <w:r>
        <w:t xml:space="preserve">Open </w:t>
      </w:r>
      <w:r w:rsidR="003663FA">
        <w:t>Questions</w:t>
      </w:r>
      <w:bookmarkEnd w:id="55"/>
    </w:p>
    <w:p w:rsidR="00A158FB" w:rsidRDefault="00FF19C7" w:rsidP="00FF19C7">
      <w:pPr>
        <w:pStyle w:val="BodyText"/>
        <w:numPr>
          <w:ilvl w:val="0"/>
          <w:numId w:val="13"/>
        </w:numPr>
      </w:pPr>
      <w:r>
        <w:t xml:space="preserve">Which version of the </w:t>
      </w:r>
      <w:r w:rsidR="00F51342">
        <w:t>Alert Rules r</w:t>
      </w:r>
      <w:r>
        <w:t>ibbon do we want to use, option 1 or option 2?</w:t>
      </w:r>
    </w:p>
    <w:p w:rsidR="003663FA" w:rsidRDefault="003663FA" w:rsidP="00FF19C7">
      <w:pPr>
        <w:pStyle w:val="BodyText"/>
        <w:numPr>
          <w:ilvl w:val="0"/>
          <w:numId w:val="13"/>
        </w:numPr>
      </w:pPr>
      <w:r>
        <w:t xml:space="preserve">The agent currently logs error events (trace directory full, unable to communicate to sql server, etc) to the repositiory.  The agent log two entries, when the issue occurred and when it was resolved.  Should the alerts be generated when the entry is made in the repository or every collection server heartbeat, have the collection server look in the repository for the events and create alerts in they exist? </w:t>
      </w:r>
    </w:p>
    <w:p w:rsidR="00AA220A" w:rsidRDefault="00AA220A">
      <w:pPr>
        <w:pStyle w:val="Heading1"/>
      </w:pPr>
      <w:bookmarkStart w:id="56" w:name="_Toc246228980"/>
      <w:r>
        <w:lastRenderedPageBreak/>
        <w:t>Functional Design</w:t>
      </w:r>
      <w:bookmarkEnd w:id="56"/>
    </w:p>
    <w:p w:rsidR="00AA220A" w:rsidRDefault="0099310F" w:rsidP="009559A3">
      <w:pPr>
        <w:pStyle w:val="Heading2"/>
      </w:pPr>
      <w:bookmarkStart w:id="57" w:name="_Toc246228981"/>
      <w:r>
        <w:t>User</w:t>
      </w:r>
      <w:r w:rsidR="00AA220A">
        <w:t xml:space="preserve"> Interfaces</w:t>
      </w:r>
      <w:bookmarkEnd w:id="57"/>
    </w:p>
    <w:p w:rsidR="0061150A" w:rsidRDefault="0061150A" w:rsidP="0061150A">
      <w:pPr>
        <w:pStyle w:val="BodyText"/>
      </w:pPr>
    </w:p>
    <w:p w:rsidR="005E1E94" w:rsidRDefault="00E87FA3" w:rsidP="0061150A">
      <w:pPr>
        <w:pStyle w:val="BodyText"/>
      </w:pPr>
      <w:r>
        <w:t>These are the two possible options of the redesigned Alert Rules ribbon.  This first is more compact but less obvious and vice versa for the second option</w:t>
      </w:r>
    </w:p>
    <w:p w:rsidR="005E1E94" w:rsidRDefault="005E1E94" w:rsidP="0061150A">
      <w:pPr>
        <w:pStyle w:val="BodyText"/>
      </w:pPr>
    </w:p>
    <w:p w:rsidR="005E1E94" w:rsidRPr="0061150A" w:rsidRDefault="005E1E94" w:rsidP="0061150A">
      <w:pPr>
        <w:pStyle w:val="BodyText"/>
      </w:pPr>
      <w:r>
        <w:t>Option 1</w:t>
      </w:r>
    </w:p>
    <w:p w:rsidR="004660A4" w:rsidRDefault="00290930">
      <w:pPr>
        <w:pStyle w:val="BodyText"/>
      </w:pPr>
      <w:r>
        <w:rPr>
          <w:noProof/>
        </w:rPr>
        <w:drawing>
          <wp:inline distT="0" distB="0" distL="0" distR="0">
            <wp:extent cx="5939790" cy="16217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9790" cy="1621790"/>
                    </a:xfrm>
                    <a:prstGeom prst="rect">
                      <a:avLst/>
                    </a:prstGeom>
                    <a:noFill/>
                    <a:ln w="9525">
                      <a:noFill/>
                      <a:miter lim="800000"/>
                      <a:headEnd/>
                      <a:tailEnd/>
                    </a:ln>
                  </pic:spPr>
                </pic:pic>
              </a:graphicData>
            </a:graphic>
          </wp:inline>
        </w:drawing>
      </w:r>
    </w:p>
    <w:p w:rsidR="00E87FA3" w:rsidRDefault="00E87FA3">
      <w:pPr>
        <w:pStyle w:val="BodyText"/>
      </w:pPr>
      <w:r>
        <w:t>Option 1 with menu expanded</w:t>
      </w:r>
    </w:p>
    <w:p w:rsidR="001C5C8B" w:rsidRDefault="00290930">
      <w:pPr>
        <w:pStyle w:val="BodyText"/>
      </w:pPr>
      <w:r>
        <w:rPr>
          <w:noProof/>
        </w:rPr>
        <w:drawing>
          <wp:inline distT="0" distB="0" distL="0" distR="0">
            <wp:extent cx="5939790" cy="167767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39790" cy="1677670"/>
                    </a:xfrm>
                    <a:prstGeom prst="rect">
                      <a:avLst/>
                    </a:prstGeom>
                    <a:noFill/>
                    <a:ln w="9525">
                      <a:noFill/>
                      <a:miter lim="800000"/>
                      <a:headEnd/>
                      <a:tailEnd/>
                    </a:ln>
                  </pic:spPr>
                </pic:pic>
              </a:graphicData>
            </a:graphic>
          </wp:inline>
        </w:drawing>
      </w:r>
    </w:p>
    <w:p w:rsidR="005E1E94" w:rsidRDefault="005E1E94">
      <w:pPr>
        <w:pStyle w:val="BodyText"/>
      </w:pPr>
    </w:p>
    <w:p w:rsidR="001C5C8B" w:rsidRDefault="005E1E94">
      <w:pPr>
        <w:pStyle w:val="BodyText"/>
      </w:pPr>
      <w:r>
        <w:t>Option 2</w:t>
      </w:r>
    </w:p>
    <w:p w:rsidR="009C3CD4" w:rsidRDefault="00290930" w:rsidP="00E87FA3">
      <w:pPr>
        <w:pStyle w:val="BodyText"/>
      </w:pPr>
      <w:r>
        <w:rPr>
          <w:noProof/>
        </w:rPr>
        <w:drawing>
          <wp:inline distT="0" distB="0" distL="0" distR="0">
            <wp:extent cx="5931535" cy="15741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31535" cy="1574165"/>
                    </a:xfrm>
                    <a:prstGeom prst="rect">
                      <a:avLst/>
                    </a:prstGeom>
                    <a:noFill/>
                    <a:ln w="9525">
                      <a:noFill/>
                      <a:miter lim="800000"/>
                      <a:headEnd/>
                      <a:tailEnd/>
                    </a:ln>
                  </pic:spPr>
                </pic:pic>
              </a:graphicData>
            </a:graphic>
          </wp:inline>
        </w:drawing>
      </w:r>
    </w:p>
    <w:p w:rsidR="00E87FA3" w:rsidRDefault="005E1E94" w:rsidP="00E87FA3">
      <w:pPr>
        <w:pStyle w:val="BodyText"/>
      </w:pPr>
      <w:r>
        <w:lastRenderedPageBreak/>
        <w:t>Fig 1.</w:t>
      </w:r>
      <w:r w:rsidR="00E87FA3">
        <w:t xml:space="preserve">  The event alerts and operational alerts will each be displayed on separate tab.  The tabs will be identical except for the columns displayed in each view.</w:t>
      </w:r>
    </w:p>
    <w:p w:rsidR="005E1E94" w:rsidRDefault="00290930">
      <w:pPr>
        <w:pStyle w:val="BodyText"/>
      </w:pPr>
      <w:r>
        <w:rPr>
          <w:noProof/>
        </w:rPr>
        <w:drawing>
          <wp:inline distT="0" distB="0" distL="0" distR="0">
            <wp:extent cx="5931535" cy="18446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31535" cy="1844675"/>
                    </a:xfrm>
                    <a:prstGeom prst="rect">
                      <a:avLst/>
                    </a:prstGeom>
                    <a:noFill/>
                    <a:ln w="9525">
                      <a:noFill/>
                      <a:miter lim="800000"/>
                      <a:headEnd/>
                      <a:tailEnd/>
                    </a:ln>
                  </pic:spPr>
                </pic:pic>
              </a:graphicData>
            </a:graphic>
          </wp:inline>
        </w:drawing>
      </w:r>
    </w:p>
    <w:p w:rsidR="00FF19C7" w:rsidRDefault="00FF19C7">
      <w:pPr>
        <w:pStyle w:val="BodyText"/>
      </w:pPr>
    </w:p>
    <w:p w:rsidR="00FF3EEB" w:rsidRDefault="00FF3EEB">
      <w:pPr>
        <w:pStyle w:val="BodyText"/>
      </w:pPr>
    </w:p>
    <w:p w:rsidR="00E87FA3" w:rsidRDefault="00E87FA3">
      <w:pPr>
        <w:pStyle w:val="BodyText"/>
      </w:pPr>
    </w:p>
    <w:p w:rsidR="00E87FA3" w:rsidRDefault="00E87FA3">
      <w:pPr>
        <w:pStyle w:val="BodyText"/>
      </w:pPr>
    </w:p>
    <w:p w:rsidR="00E87FA3" w:rsidRDefault="00E87FA3">
      <w:pPr>
        <w:pStyle w:val="BodyText"/>
      </w:pPr>
    </w:p>
    <w:p w:rsidR="00E87FA3" w:rsidRDefault="00FF3EEB" w:rsidP="00E87FA3">
      <w:pPr>
        <w:pStyle w:val="BodyText"/>
      </w:pPr>
      <w:r>
        <w:t>Fig 2.</w:t>
      </w:r>
      <w:r w:rsidR="00E87FA3">
        <w:t xml:space="preserve"> This is the Add an operational Alert wizard.  </w:t>
      </w:r>
      <w:r w:rsidR="00643AEB">
        <w:t>The first page lets the user select an alert type.  When they select a type, a description of the type will be displayed.</w:t>
      </w:r>
    </w:p>
    <w:p w:rsidR="001C5C8B" w:rsidRDefault="00290930">
      <w:pPr>
        <w:pStyle w:val="BodyText"/>
      </w:pPr>
      <w:r>
        <w:rPr>
          <w:noProof/>
        </w:rPr>
        <w:drawing>
          <wp:inline distT="0" distB="0" distL="0" distR="0">
            <wp:extent cx="5192395" cy="35064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192395" cy="3506470"/>
                    </a:xfrm>
                    <a:prstGeom prst="rect">
                      <a:avLst/>
                    </a:prstGeom>
                    <a:noFill/>
                    <a:ln w="9525">
                      <a:noFill/>
                      <a:miter lim="800000"/>
                      <a:headEnd/>
                      <a:tailEnd/>
                    </a:ln>
                  </pic:spPr>
                </pic:pic>
              </a:graphicData>
            </a:graphic>
          </wp:inline>
        </w:drawing>
      </w:r>
    </w:p>
    <w:p w:rsidR="0002680A" w:rsidRDefault="0002680A">
      <w:pPr>
        <w:pStyle w:val="BodyText"/>
      </w:pPr>
    </w:p>
    <w:p w:rsidR="00965326" w:rsidRDefault="00290930">
      <w:pPr>
        <w:pStyle w:val="BodyText"/>
      </w:pPr>
      <w:r>
        <w:rPr>
          <w:noProof/>
        </w:rPr>
        <w:lastRenderedPageBreak/>
        <w:drawing>
          <wp:inline distT="0" distB="0" distL="0" distR="0">
            <wp:extent cx="5192395" cy="350647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192395" cy="3506470"/>
                    </a:xfrm>
                    <a:prstGeom prst="rect">
                      <a:avLst/>
                    </a:prstGeom>
                    <a:noFill/>
                    <a:ln w="9525">
                      <a:noFill/>
                      <a:miter lim="800000"/>
                      <a:headEnd/>
                      <a:tailEnd/>
                    </a:ln>
                  </pic:spPr>
                </pic:pic>
              </a:graphicData>
            </a:graphic>
          </wp:inline>
        </w:drawing>
      </w:r>
    </w:p>
    <w:p w:rsidR="00965326" w:rsidRDefault="00290930">
      <w:pPr>
        <w:pStyle w:val="BodyText"/>
      </w:pPr>
      <w:r>
        <w:rPr>
          <w:noProof/>
        </w:rPr>
        <w:drawing>
          <wp:inline distT="0" distB="0" distL="0" distR="0">
            <wp:extent cx="5192395" cy="3506470"/>
            <wp:effectExtent l="1905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5192395" cy="3506470"/>
                    </a:xfrm>
                    <a:prstGeom prst="rect">
                      <a:avLst/>
                    </a:prstGeom>
                    <a:noFill/>
                    <a:ln w="9525">
                      <a:noFill/>
                      <a:miter lim="800000"/>
                      <a:headEnd/>
                      <a:tailEnd/>
                    </a:ln>
                  </pic:spPr>
                </pic:pic>
              </a:graphicData>
            </a:graphic>
          </wp:inline>
        </w:drawing>
      </w:r>
    </w:p>
    <w:p w:rsidR="00A201AA" w:rsidRDefault="00A201AA">
      <w:pPr>
        <w:pStyle w:val="BodyText"/>
      </w:pPr>
    </w:p>
    <w:p w:rsidR="0002680A" w:rsidRDefault="0002680A">
      <w:pPr>
        <w:pStyle w:val="BodyText"/>
      </w:pPr>
    </w:p>
    <w:p w:rsidR="008C7A07" w:rsidRDefault="00290930">
      <w:pPr>
        <w:pStyle w:val="BodyText"/>
      </w:pPr>
      <w:r>
        <w:rPr>
          <w:noProof/>
        </w:rPr>
        <w:lastRenderedPageBreak/>
        <w:drawing>
          <wp:inline distT="0" distB="0" distL="0" distR="0">
            <wp:extent cx="5192395" cy="3506470"/>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192395" cy="3506470"/>
                    </a:xfrm>
                    <a:prstGeom prst="rect">
                      <a:avLst/>
                    </a:prstGeom>
                    <a:noFill/>
                    <a:ln w="9525">
                      <a:noFill/>
                      <a:miter lim="800000"/>
                      <a:headEnd/>
                      <a:tailEnd/>
                    </a:ln>
                  </pic:spPr>
                </pic:pic>
              </a:graphicData>
            </a:graphic>
          </wp:inline>
        </w:drawing>
      </w:r>
    </w:p>
    <w:p w:rsidR="0002680A" w:rsidRDefault="0002680A">
      <w:pPr>
        <w:pStyle w:val="BodyText"/>
      </w:pPr>
    </w:p>
    <w:p w:rsidR="00FF3EEB" w:rsidRDefault="00FF3EEB">
      <w:pPr>
        <w:pStyle w:val="BodyText"/>
      </w:pPr>
      <w:r>
        <w:t>The collection server log level is now modifiable and the heartbeat interval has been added.</w:t>
      </w:r>
    </w:p>
    <w:p w:rsidR="00FF3EEB" w:rsidRDefault="00FF3EEB">
      <w:pPr>
        <w:pStyle w:val="BodyText"/>
      </w:pPr>
      <w:r>
        <w:t>Fig 3.</w:t>
      </w:r>
    </w:p>
    <w:p w:rsidR="00FF3EEB" w:rsidRDefault="00290930">
      <w:pPr>
        <w:pStyle w:val="BodyText"/>
      </w:pPr>
      <w:r>
        <w:rPr>
          <w:noProof/>
        </w:rPr>
        <w:drawing>
          <wp:inline distT="0" distB="0" distL="0" distR="0">
            <wp:extent cx="5486400" cy="33794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486400" cy="3379470"/>
                    </a:xfrm>
                    <a:prstGeom prst="rect">
                      <a:avLst/>
                    </a:prstGeom>
                    <a:noFill/>
                    <a:ln w="9525">
                      <a:noFill/>
                      <a:miter lim="800000"/>
                      <a:headEnd/>
                      <a:tailEnd/>
                    </a:ln>
                  </pic:spPr>
                </pic:pic>
              </a:graphicData>
            </a:graphic>
          </wp:inline>
        </w:drawing>
      </w:r>
    </w:p>
    <w:p w:rsidR="00FF3EEB" w:rsidRDefault="00FF3EEB">
      <w:pPr>
        <w:pStyle w:val="BodyText"/>
      </w:pPr>
    </w:p>
    <w:p w:rsidR="009559A3" w:rsidRDefault="0099310F" w:rsidP="0099310F">
      <w:pPr>
        <w:pStyle w:val="Heading2"/>
      </w:pPr>
      <w:bookmarkStart w:id="58" w:name="_Toc246228982"/>
      <w:r>
        <w:lastRenderedPageBreak/>
        <w:t>Installation and Upgrade</w:t>
      </w:r>
      <w:bookmarkStart w:id="59" w:name="_Toc375126867"/>
      <w:bookmarkStart w:id="60" w:name="_Toc375126898"/>
      <w:bookmarkStart w:id="61" w:name="_Toc375126923"/>
      <w:bookmarkStart w:id="62" w:name="_Toc377373059"/>
      <w:bookmarkEnd w:id="58"/>
    </w:p>
    <w:p w:rsidR="009559A3" w:rsidRDefault="00FD3ED1" w:rsidP="00FD3ED1">
      <w:pPr>
        <w:pStyle w:val="BodyText"/>
        <w:ind w:left="720"/>
      </w:pPr>
      <w:r>
        <w:t>None</w:t>
      </w:r>
    </w:p>
    <w:p w:rsidR="004660A4" w:rsidRPr="009559A3" w:rsidRDefault="004660A4" w:rsidP="00FD3ED1">
      <w:pPr>
        <w:pStyle w:val="BodyText"/>
        <w:ind w:left="720"/>
      </w:pPr>
    </w:p>
    <w:p w:rsidR="00AA220A" w:rsidRDefault="00AA220A">
      <w:pPr>
        <w:pStyle w:val="Heading2"/>
      </w:pPr>
      <w:bookmarkStart w:id="63" w:name="_Toc246228983"/>
      <w:bookmarkEnd w:id="42"/>
      <w:bookmarkEnd w:id="43"/>
      <w:bookmarkEnd w:id="44"/>
      <w:bookmarkEnd w:id="45"/>
      <w:bookmarkEnd w:id="46"/>
      <w:bookmarkEnd w:id="47"/>
      <w:bookmarkEnd w:id="48"/>
      <w:bookmarkEnd w:id="49"/>
      <w:bookmarkEnd w:id="50"/>
      <w:bookmarkEnd w:id="51"/>
      <w:bookmarkEnd w:id="52"/>
      <w:bookmarkEnd w:id="53"/>
      <w:bookmarkEnd w:id="54"/>
      <w:bookmarkEnd w:id="59"/>
      <w:bookmarkEnd w:id="60"/>
      <w:bookmarkEnd w:id="61"/>
      <w:bookmarkEnd w:id="62"/>
      <w:r>
        <w:t>Permissions and other Required Configuration</w:t>
      </w:r>
      <w:bookmarkEnd w:id="63"/>
      <w:r>
        <w:rPr>
          <w:rStyle w:val="CommentReference"/>
          <w:rFonts w:ascii="Times New Roman" w:hAnsi="Times New Roman"/>
          <w:b w:val="0"/>
          <w:vanish/>
        </w:rPr>
        <w:t xml:space="preserve"> </w:t>
      </w:r>
    </w:p>
    <w:p w:rsidR="004660A4" w:rsidRDefault="00657A4B" w:rsidP="00FD3ED1">
      <w:pPr>
        <w:pStyle w:val="BodyText"/>
        <w:ind w:left="720"/>
      </w:pPr>
      <w:r>
        <w:t>The user must have modify rights to add alert rules.  Otherwise, everything will be read only.</w:t>
      </w:r>
    </w:p>
    <w:p w:rsidR="00AA220A" w:rsidRDefault="00AA220A">
      <w:pPr>
        <w:pStyle w:val="Heading2"/>
      </w:pPr>
      <w:bookmarkStart w:id="64" w:name="_Toc246228984"/>
      <w:r>
        <w:t>Licensing Issues</w:t>
      </w:r>
      <w:bookmarkEnd w:id="64"/>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2"/>
      </w:pPr>
      <w:bookmarkStart w:id="65" w:name="_Toc246228985"/>
      <w:r>
        <w:t>Dependencies</w:t>
      </w:r>
      <w:bookmarkEnd w:id="65"/>
    </w:p>
    <w:p w:rsidR="004660A4" w:rsidRDefault="00981681" w:rsidP="00981681">
      <w:pPr>
        <w:pStyle w:val="BodyText"/>
        <w:ind w:left="720"/>
      </w:pPr>
      <w:r>
        <w:t>None</w:t>
      </w:r>
    </w:p>
    <w:p w:rsidR="00981681" w:rsidRPr="004660A4" w:rsidRDefault="00981681" w:rsidP="00981681">
      <w:pPr>
        <w:pStyle w:val="BodyText"/>
        <w:ind w:left="720"/>
      </w:pPr>
    </w:p>
    <w:p w:rsidR="00AA220A" w:rsidRDefault="00AA220A">
      <w:pPr>
        <w:pStyle w:val="Heading3"/>
      </w:pPr>
      <w:bookmarkStart w:id="66" w:name="_Toc246228986"/>
      <w:r>
        <w:t xml:space="preserve">Dependencies on </w:t>
      </w:r>
      <w:r w:rsidR="009670DE">
        <w:t>Idera Sof</w:t>
      </w:r>
      <w:r>
        <w:t>tware</w:t>
      </w:r>
      <w:bookmarkEnd w:id="66"/>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3"/>
      </w:pPr>
      <w:bookmarkStart w:id="67" w:name="_Toc246228987"/>
      <w:r>
        <w:t>Third-Party Software Required on the Customer Machine</w:t>
      </w:r>
      <w:bookmarkEnd w:id="67"/>
    </w:p>
    <w:p w:rsidR="00AA220A" w:rsidRDefault="00FD3ED1" w:rsidP="00FD3ED1">
      <w:pPr>
        <w:ind w:left="720"/>
      </w:pPr>
      <w:r>
        <w:t>None</w:t>
      </w:r>
    </w:p>
    <w:p w:rsidR="00981681" w:rsidRDefault="00981681" w:rsidP="00981681"/>
    <w:p w:rsidR="00AA220A" w:rsidRDefault="00AA220A">
      <w:pPr>
        <w:pStyle w:val="Heading3"/>
      </w:pPr>
      <w:bookmarkStart w:id="68" w:name="_Toc246228988"/>
      <w:r>
        <w:t>Third-Party Software Required Internally</w:t>
      </w:r>
      <w:bookmarkEnd w:id="68"/>
    </w:p>
    <w:p w:rsidR="00AA220A" w:rsidRDefault="0016404D" w:rsidP="00FD3ED1">
      <w:pPr>
        <w:ind w:firstLine="720"/>
      </w:pPr>
      <w:r>
        <w:t>None</w:t>
      </w:r>
    </w:p>
    <w:p w:rsidR="00AA220A" w:rsidRDefault="00AA220A">
      <w:pPr>
        <w:pStyle w:val="BodyText"/>
      </w:pPr>
    </w:p>
    <w:p w:rsidR="00ED5423" w:rsidRDefault="00ED5423">
      <w:pPr>
        <w:pStyle w:val="BodyText"/>
      </w:pPr>
    </w:p>
    <w:p w:rsidR="00ED5423" w:rsidRDefault="00ED5423">
      <w:pPr>
        <w:pStyle w:val="BodyText"/>
      </w:pPr>
    </w:p>
    <w:p w:rsidR="00ED5423" w:rsidRDefault="00ED5423">
      <w:pPr>
        <w:pStyle w:val="BodyText"/>
      </w:pPr>
    </w:p>
    <w:p w:rsidR="00AA220A" w:rsidRDefault="00AA220A">
      <w:pPr>
        <w:pStyle w:val="Heading1"/>
      </w:pPr>
      <w:bookmarkStart w:id="69" w:name="_Toc246228989"/>
      <w:r>
        <w:lastRenderedPageBreak/>
        <w:t>Internal Design</w:t>
      </w:r>
      <w:bookmarkEnd w:id="69"/>
      <w:r>
        <w:rPr>
          <w:rStyle w:val="CommentReference"/>
          <w:rFonts w:ascii="Times New Roman" w:hAnsi="Times New Roman"/>
          <w:b w:val="0"/>
          <w:i w:val="0"/>
          <w:vanish/>
        </w:rPr>
        <w:t xml:space="preserve"> </w:t>
      </w:r>
    </w:p>
    <w:p w:rsidR="00AA220A" w:rsidRDefault="00AA220A">
      <w:pPr>
        <w:pStyle w:val="Heading2"/>
      </w:pPr>
      <w:bookmarkStart w:id="70" w:name="_Toc246228990"/>
      <w:r>
        <w:t>Architecture</w:t>
      </w:r>
      <w:bookmarkEnd w:id="70"/>
    </w:p>
    <w:p w:rsidR="0099310F" w:rsidRDefault="0099310F" w:rsidP="0099310F">
      <w:pPr>
        <w:pStyle w:val="BodyText"/>
      </w:pPr>
      <w:r>
        <w:t>An overview of the architecture behind this feature – how it works, components, communication between components etc</w:t>
      </w:r>
    </w:p>
    <w:p w:rsidR="008F14B7" w:rsidRDefault="008F14B7" w:rsidP="0099310F">
      <w:pPr>
        <w:pStyle w:val="BodyText"/>
      </w:pPr>
    </w:p>
    <w:p w:rsidR="008F14B7" w:rsidRDefault="008F14B7" w:rsidP="008F14B7">
      <w:pPr>
        <w:pStyle w:val="BodyText"/>
        <w:numPr>
          <w:ilvl w:val="0"/>
          <w:numId w:val="11"/>
        </w:numPr>
      </w:pPr>
      <w:r>
        <w:t>Collection Service Alerts</w:t>
      </w:r>
    </w:p>
    <w:p w:rsidR="008F14B7" w:rsidRDefault="008F14B7" w:rsidP="008F14B7">
      <w:pPr>
        <w:pStyle w:val="BodyText"/>
        <w:numPr>
          <w:ilvl w:val="1"/>
          <w:numId w:val="11"/>
        </w:numPr>
      </w:pPr>
      <w:r>
        <w:t>Trace Directory Full</w:t>
      </w:r>
      <w:r w:rsidR="00EF0EF6">
        <w:t xml:space="preserve">  - just get the disk size and compare.</w:t>
      </w:r>
      <w:r w:rsidR="008E240E">
        <w:t xml:space="preserve">  The value will be stored in the registry here :HKLM\Software\Idera\SQLcompliance\CollectionServer</w:t>
      </w:r>
    </w:p>
    <w:p w:rsidR="008E240E" w:rsidRDefault="008E240E" w:rsidP="008E240E">
      <w:pPr>
        <w:pStyle w:val="BodyText"/>
        <w:ind w:left="1440"/>
      </w:pPr>
      <w:r>
        <w:t>DWORD – Heartbeat Value = 6</w:t>
      </w:r>
    </w:p>
    <w:p w:rsidR="008F14B7" w:rsidRDefault="008F14B7" w:rsidP="008F14B7">
      <w:pPr>
        <w:pStyle w:val="BodyText"/>
        <w:numPr>
          <w:ilvl w:val="1"/>
          <w:numId w:val="11"/>
        </w:numPr>
      </w:pPr>
      <w:r>
        <w:t>Not getting agent heartbeats</w:t>
      </w:r>
      <w:r w:rsidR="00EF0EF6">
        <w:t xml:space="preserve"> – just get the last heartbeat, the current date/time and compare.</w:t>
      </w:r>
    </w:p>
    <w:p w:rsidR="008F14B7" w:rsidRPr="00361CBC" w:rsidRDefault="008F14B7" w:rsidP="008F14B7">
      <w:pPr>
        <w:pStyle w:val="BodyText"/>
        <w:numPr>
          <w:ilvl w:val="1"/>
          <w:numId w:val="11"/>
        </w:numPr>
      </w:pPr>
      <w:r>
        <w:t>Repository db too full</w:t>
      </w:r>
      <w:r w:rsidR="00EF0EF6">
        <w:t xml:space="preserve">  - sp_spaceused (maybe)</w:t>
      </w:r>
    </w:p>
    <w:p w:rsidR="008F14B7" w:rsidRDefault="008F14B7" w:rsidP="008F14B7">
      <w:pPr>
        <w:pStyle w:val="BodyText"/>
        <w:numPr>
          <w:ilvl w:val="0"/>
          <w:numId w:val="11"/>
        </w:numPr>
      </w:pPr>
      <w:r>
        <w:t>Agent Alerts</w:t>
      </w:r>
    </w:p>
    <w:p w:rsidR="008F14B7" w:rsidRDefault="008F14B7" w:rsidP="008F14B7">
      <w:pPr>
        <w:pStyle w:val="BodyText"/>
        <w:numPr>
          <w:ilvl w:val="1"/>
          <w:numId w:val="11"/>
        </w:numPr>
      </w:pPr>
      <w:r>
        <w:t xml:space="preserve">Trace directory full – need to pass the percentage to the agent in the settings </w:t>
      </w:r>
      <w:r w:rsidR="008E240E">
        <w:t>(i.e. when the agent gets the settings from the repository, it needs to look at the percent full value.</w:t>
      </w:r>
    </w:p>
    <w:p w:rsidR="008F14B7" w:rsidRDefault="008E240E" w:rsidP="0099310F">
      <w:pPr>
        <w:pStyle w:val="BodyText"/>
        <w:numPr>
          <w:ilvl w:val="1"/>
          <w:numId w:val="11"/>
        </w:numPr>
      </w:pPr>
      <w:r>
        <w:t>Can’t talk to SQL server – keep everything the same.</w:t>
      </w:r>
    </w:p>
    <w:p w:rsidR="003C17F0" w:rsidRDefault="003C17F0" w:rsidP="003C17F0">
      <w:pPr>
        <w:pStyle w:val="BodyText"/>
        <w:numPr>
          <w:ilvl w:val="0"/>
          <w:numId w:val="11"/>
        </w:numPr>
      </w:pPr>
      <w:r>
        <w:t>Repository Changes – Where to store the alert information – It will fit in the current alert stuff.</w:t>
      </w:r>
    </w:p>
    <w:p w:rsidR="003210D6" w:rsidRDefault="003210D6" w:rsidP="003C17F0">
      <w:pPr>
        <w:pStyle w:val="BodyText"/>
        <w:numPr>
          <w:ilvl w:val="0"/>
          <w:numId w:val="11"/>
        </w:numPr>
      </w:pPr>
      <w:r>
        <w:t>Places that Alert needs to change to Event Alert – Pretty much everywhere</w:t>
      </w:r>
      <w:r w:rsidR="003C17F0">
        <w:t xml:space="preserve">.  Only lables in the console will be changed. </w:t>
      </w:r>
    </w:p>
    <w:p w:rsidR="00AA220A" w:rsidRDefault="00AA220A">
      <w:pPr>
        <w:pStyle w:val="Heading2"/>
      </w:pPr>
      <w:bookmarkStart w:id="71" w:name="_Toc246228991"/>
      <w:r>
        <w:t>Installation</w:t>
      </w:r>
      <w:r w:rsidR="009670DE">
        <w:t xml:space="preserve"> Issues</w:t>
      </w:r>
      <w:bookmarkEnd w:id="71"/>
    </w:p>
    <w:p w:rsidR="0099310F" w:rsidRDefault="0003219C" w:rsidP="0003219C">
      <w:pPr>
        <w:pStyle w:val="BodyText"/>
        <w:ind w:firstLine="720"/>
      </w:pPr>
      <w:r>
        <w:t>None.</w:t>
      </w:r>
    </w:p>
    <w:p w:rsidR="00AA220A" w:rsidRDefault="00AA220A">
      <w:pPr>
        <w:pStyle w:val="Heading2"/>
      </w:pPr>
      <w:bookmarkStart w:id="72" w:name="_Toc246228992"/>
      <w:bookmarkStart w:id="73" w:name="_Toc360430713"/>
      <w:bookmarkStart w:id="74" w:name="_Toc360430805"/>
      <w:bookmarkStart w:id="75" w:name="_Toc360431061"/>
      <w:bookmarkStart w:id="76" w:name="_Toc360431526"/>
      <w:bookmarkStart w:id="77" w:name="_Toc360431938"/>
      <w:bookmarkStart w:id="78" w:name="_Toc360433710"/>
      <w:bookmarkStart w:id="79" w:name="_Toc374866372"/>
      <w:bookmarkStart w:id="80" w:name="_Toc375126877"/>
      <w:bookmarkStart w:id="81" w:name="_Toc375126908"/>
      <w:bookmarkStart w:id="82" w:name="_Toc375126933"/>
      <w:bookmarkStart w:id="83" w:name="_Toc377373074"/>
      <w:bookmarkStart w:id="84" w:name="_Toc378468809"/>
      <w:bookmarkStart w:id="85" w:name="_Toc381264549"/>
      <w:r>
        <w:t>Schedule</w:t>
      </w:r>
      <w:bookmarkEnd w:id="72"/>
    </w:p>
    <w:p w:rsidR="00AA220A" w:rsidRDefault="00AA220A">
      <w:pPr>
        <w:pStyle w:val="Heading3"/>
      </w:pPr>
      <w:bookmarkStart w:id="86" w:name="_Toc246228993"/>
      <w:r>
        <w:t>Work Breakdown and Sizings</w:t>
      </w:r>
      <w:bookmarkEnd w:id="86"/>
    </w:p>
    <w:p w:rsidR="00B26068" w:rsidRPr="00B26068" w:rsidRDefault="00B26068" w:rsidP="00B260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r w:rsidR="00170B12">
              <w:t xml:space="preserve"> (Days)</w:t>
            </w:r>
          </w:p>
        </w:tc>
      </w:tr>
      <w:tr w:rsidR="009559A3">
        <w:tc>
          <w:tcPr>
            <w:tcW w:w="6721" w:type="dxa"/>
          </w:tcPr>
          <w:p w:rsidR="009559A3" w:rsidRDefault="00170B12" w:rsidP="00AA220A">
            <w:pPr>
              <w:pStyle w:val="BodyText"/>
            </w:pPr>
            <w:r>
              <w:t>Add new Alerts (1.5days x 5alerts)</w:t>
            </w:r>
          </w:p>
        </w:tc>
        <w:tc>
          <w:tcPr>
            <w:tcW w:w="1386" w:type="dxa"/>
          </w:tcPr>
          <w:p w:rsidR="009559A3" w:rsidRDefault="00170B12" w:rsidP="00AA220A">
            <w:pPr>
              <w:pStyle w:val="BodyText"/>
            </w:pPr>
            <w:r>
              <w:t>Robert</w:t>
            </w:r>
          </w:p>
        </w:tc>
        <w:tc>
          <w:tcPr>
            <w:tcW w:w="1469" w:type="dxa"/>
          </w:tcPr>
          <w:p w:rsidR="009559A3" w:rsidRDefault="00170B12" w:rsidP="00AA220A">
            <w:pPr>
              <w:pStyle w:val="BodyText"/>
            </w:pPr>
            <w:r>
              <w:t>7.5</w:t>
            </w:r>
          </w:p>
        </w:tc>
      </w:tr>
      <w:tr w:rsidR="009559A3">
        <w:tc>
          <w:tcPr>
            <w:tcW w:w="6721" w:type="dxa"/>
          </w:tcPr>
          <w:p w:rsidR="009559A3" w:rsidRDefault="00170B12" w:rsidP="00AA220A">
            <w:pPr>
              <w:pStyle w:val="BodyText"/>
            </w:pPr>
            <w:r>
              <w:t>Changes to the existing alerting frame work</w:t>
            </w:r>
          </w:p>
        </w:tc>
        <w:tc>
          <w:tcPr>
            <w:tcW w:w="1386" w:type="dxa"/>
          </w:tcPr>
          <w:p w:rsidR="009559A3" w:rsidRDefault="00170B12" w:rsidP="00AA220A">
            <w:pPr>
              <w:pStyle w:val="BodyText"/>
            </w:pPr>
            <w:r>
              <w:t>Robert</w:t>
            </w:r>
          </w:p>
        </w:tc>
        <w:tc>
          <w:tcPr>
            <w:tcW w:w="1469" w:type="dxa"/>
          </w:tcPr>
          <w:p w:rsidR="009559A3" w:rsidRDefault="008B1921" w:rsidP="00AA220A">
            <w:pPr>
              <w:pStyle w:val="BodyText"/>
            </w:pPr>
            <w:r>
              <w:t>5</w:t>
            </w:r>
          </w:p>
        </w:tc>
      </w:tr>
      <w:tr w:rsidR="00B26068">
        <w:tc>
          <w:tcPr>
            <w:tcW w:w="6721" w:type="dxa"/>
          </w:tcPr>
          <w:p w:rsidR="00B26068" w:rsidRDefault="00B26068" w:rsidP="00B26068">
            <w:pPr>
              <w:pStyle w:val="BodyText"/>
            </w:pPr>
            <w:r>
              <w:t>Add Operational Alert Wizard</w:t>
            </w:r>
          </w:p>
        </w:tc>
        <w:tc>
          <w:tcPr>
            <w:tcW w:w="1386" w:type="dxa"/>
          </w:tcPr>
          <w:p w:rsidR="00B26068" w:rsidRDefault="00B26068" w:rsidP="00AA220A">
            <w:pPr>
              <w:pStyle w:val="BodyText"/>
            </w:pPr>
            <w:r>
              <w:t>Robert</w:t>
            </w:r>
          </w:p>
        </w:tc>
        <w:tc>
          <w:tcPr>
            <w:tcW w:w="1469" w:type="dxa"/>
          </w:tcPr>
          <w:p w:rsidR="00B26068" w:rsidRDefault="008B1921" w:rsidP="00AA220A">
            <w:pPr>
              <w:pStyle w:val="BodyText"/>
            </w:pPr>
            <w:r>
              <w:t>3</w:t>
            </w:r>
          </w:p>
        </w:tc>
      </w:tr>
      <w:tr w:rsidR="00B26068">
        <w:tc>
          <w:tcPr>
            <w:tcW w:w="6721" w:type="dxa"/>
          </w:tcPr>
          <w:p w:rsidR="00B26068" w:rsidRDefault="00B26068" w:rsidP="00B26068">
            <w:pPr>
              <w:pStyle w:val="BodyText"/>
            </w:pPr>
            <w:r>
              <w:t>Repository Changes</w:t>
            </w:r>
          </w:p>
        </w:tc>
        <w:tc>
          <w:tcPr>
            <w:tcW w:w="1386" w:type="dxa"/>
          </w:tcPr>
          <w:p w:rsidR="00B26068" w:rsidRDefault="00396D59" w:rsidP="00AA220A">
            <w:pPr>
              <w:pStyle w:val="BodyText"/>
            </w:pPr>
            <w:r>
              <w:t>Robert</w:t>
            </w:r>
          </w:p>
        </w:tc>
        <w:tc>
          <w:tcPr>
            <w:tcW w:w="1469" w:type="dxa"/>
          </w:tcPr>
          <w:p w:rsidR="00B26068" w:rsidRDefault="008B1921" w:rsidP="00AA220A">
            <w:pPr>
              <w:pStyle w:val="BodyText"/>
            </w:pPr>
            <w:r>
              <w:t>.5</w:t>
            </w:r>
          </w:p>
        </w:tc>
      </w:tr>
      <w:tr w:rsidR="009559A3">
        <w:tc>
          <w:tcPr>
            <w:tcW w:w="6721" w:type="dxa"/>
          </w:tcPr>
          <w:p w:rsidR="009559A3" w:rsidRDefault="009559A3" w:rsidP="00AA220A">
            <w:pPr>
              <w:pStyle w:val="BodyText"/>
              <w:rPr>
                <w:b/>
                <w:bCs/>
                <w:sz w:val="24"/>
              </w:rPr>
            </w:pPr>
            <w:r>
              <w:rPr>
                <w:b/>
                <w:bCs/>
                <w:sz w:val="24"/>
              </w:rPr>
              <w:t>Total</w:t>
            </w:r>
          </w:p>
        </w:tc>
        <w:tc>
          <w:tcPr>
            <w:tcW w:w="1386" w:type="dxa"/>
          </w:tcPr>
          <w:p w:rsidR="009559A3" w:rsidRDefault="009559A3" w:rsidP="00AA220A">
            <w:pPr>
              <w:pStyle w:val="BodyText"/>
              <w:rPr>
                <w:b/>
                <w:bCs/>
                <w:sz w:val="24"/>
              </w:rPr>
            </w:pPr>
          </w:p>
        </w:tc>
        <w:tc>
          <w:tcPr>
            <w:tcW w:w="1469" w:type="dxa"/>
          </w:tcPr>
          <w:p w:rsidR="009559A3" w:rsidRDefault="008B1921" w:rsidP="00AA220A">
            <w:pPr>
              <w:pStyle w:val="BodyText"/>
              <w:rPr>
                <w:b/>
                <w:bCs/>
                <w:sz w:val="24"/>
              </w:rPr>
            </w:pPr>
            <w:r>
              <w:rPr>
                <w:b/>
                <w:bCs/>
                <w:sz w:val="24"/>
              </w:rPr>
              <w:t>16</w:t>
            </w:r>
          </w:p>
        </w:tc>
      </w:tr>
    </w:tbl>
    <w:p w:rsidR="00AA220A" w:rsidRDefault="00AA220A">
      <w:pPr>
        <w:pStyle w:val="BodyText"/>
      </w:pPr>
    </w:p>
    <w:p w:rsidR="00AA220A" w:rsidRDefault="00AA220A">
      <w:pPr>
        <w:pStyle w:val="Heading3"/>
      </w:pPr>
      <w:bookmarkStart w:id="87" w:name="_Toc246228994"/>
      <w:r>
        <w:lastRenderedPageBreak/>
        <w:t>Areas of Risk</w:t>
      </w:r>
      <w:bookmarkEnd w:id="73"/>
      <w:bookmarkEnd w:id="74"/>
      <w:bookmarkEnd w:id="75"/>
      <w:bookmarkEnd w:id="76"/>
      <w:bookmarkEnd w:id="77"/>
      <w:bookmarkEnd w:id="78"/>
      <w:bookmarkEnd w:id="79"/>
      <w:bookmarkEnd w:id="80"/>
      <w:bookmarkEnd w:id="81"/>
      <w:bookmarkEnd w:id="82"/>
      <w:bookmarkEnd w:id="83"/>
      <w:bookmarkEnd w:id="84"/>
      <w:bookmarkEnd w:id="85"/>
      <w:bookmarkEnd w:id="87"/>
    </w:p>
    <w:p w:rsidR="009559A3" w:rsidRDefault="00197846" w:rsidP="00197846">
      <w:pPr>
        <w:pStyle w:val="CommentText"/>
        <w:ind w:firstLine="720"/>
      </w:pPr>
      <w:bookmarkStart w:id="88" w:name="_Toc377373075"/>
      <w:r>
        <w:t>None</w:t>
      </w:r>
    </w:p>
    <w:p w:rsidR="0099310F" w:rsidRDefault="0099310F" w:rsidP="009559A3">
      <w:pPr>
        <w:pStyle w:val="CommentText"/>
      </w:pPr>
    </w:p>
    <w:p w:rsidR="0099310F" w:rsidRDefault="0099310F" w:rsidP="009559A3">
      <w:pPr>
        <w:pStyle w:val="CommentText"/>
      </w:pPr>
    </w:p>
    <w:p w:rsidR="00AA220A" w:rsidRDefault="00AA220A">
      <w:pPr>
        <w:pStyle w:val="BodyText"/>
      </w:pPr>
    </w:p>
    <w:p w:rsidR="00AA220A" w:rsidRDefault="00AA220A">
      <w:pPr>
        <w:pStyle w:val="Heading1"/>
      </w:pPr>
      <w:bookmarkStart w:id="89" w:name="_Toc246228995"/>
      <w:bookmarkEnd w:id="88"/>
      <w:r>
        <w:t>Quality Assurance Considerations</w:t>
      </w:r>
      <w:bookmarkEnd w:id="89"/>
      <w:r>
        <w:rPr>
          <w:rStyle w:val="CommentReference"/>
        </w:rPr>
        <w:t xml:space="preserve"> </w:t>
      </w:r>
    </w:p>
    <w:p w:rsidR="009670DE" w:rsidRDefault="009670DE" w:rsidP="009670DE">
      <w:pPr>
        <w:pStyle w:val="Heading3"/>
      </w:pPr>
      <w:bookmarkStart w:id="90" w:name="_Toc246228996"/>
      <w:r>
        <w:t>Overview</w:t>
      </w:r>
      <w:bookmarkEnd w:id="90"/>
    </w:p>
    <w:p w:rsidR="002B2B54" w:rsidRDefault="002B2B54" w:rsidP="002B2B54">
      <w:pPr>
        <w:pStyle w:val="CommentText"/>
        <w:numPr>
          <w:ilvl w:val="0"/>
          <w:numId w:val="16"/>
        </w:numPr>
      </w:pPr>
      <w:r>
        <w:t>Need to verify existing alerting doesn’t have problems with the new alerting rules.</w:t>
      </w:r>
    </w:p>
    <w:p w:rsidR="002B2B54" w:rsidRDefault="002B2B54" w:rsidP="002B2B54">
      <w:pPr>
        <w:pStyle w:val="CommentText"/>
        <w:numPr>
          <w:ilvl w:val="0"/>
          <w:numId w:val="16"/>
        </w:numPr>
      </w:pPr>
      <w:r>
        <w:t>Need to make sure operational alerts don’t show in event alerts grids or reports.</w:t>
      </w:r>
    </w:p>
    <w:p w:rsidR="009670DE" w:rsidRDefault="009670DE">
      <w:pPr>
        <w:pStyle w:val="BodyText"/>
      </w:pPr>
    </w:p>
    <w:p w:rsidR="00AA220A" w:rsidRDefault="00AA220A">
      <w:pPr>
        <w:pStyle w:val="Heading1"/>
      </w:pPr>
      <w:bookmarkStart w:id="91" w:name="_Toc246228997"/>
      <w:r>
        <w:t>Documentation</w:t>
      </w:r>
      <w:r w:rsidR="009559A3">
        <w:t xml:space="preserve"> Considerations</w:t>
      </w:r>
      <w:bookmarkEnd w:id="91"/>
    </w:p>
    <w:p w:rsidR="00AA220A" w:rsidRDefault="00EF0EF6" w:rsidP="00EF0EF6">
      <w:pPr>
        <w:pStyle w:val="BodyText"/>
        <w:numPr>
          <w:ilvl w:val="0"/>
          <w:numId w:val="12"/>
        </w:numPr>
      </w:pPr>
      <w:r>
        <w:t>The new al</w:t>
      </w:r>
      <w:r w:rsidR="006D7D1D">
        <w:t>erts will need to be documented in the help and descriptions created for the New Operational Alert Wizard.</w:t>
      </w:r>
    </w:p>
    <w:p w:rsidR="00EF0EF6" w:rsidRPr="009559A3" w:rsidRDefault="00EF0EF6" w:rsidP="00EF0EF6">
      <w:pPr>
        <w:pStyle w:val="BodyText"/>
        <w:numPr>
          <w:ilvl w:val="0"/>
          <w:numId w:val="12"/>
        </w:numPr>
      </w:pPr>
      <w:r>
        <w:t>There will be a new wizard and ribbon UI changes that will need to be reviewed for proper grammar, wording, etc.</w:t>
      </w:r>
    </w:p>
    <w:p w:rsidR="00AA220A" w:rsidRDefault="009559A3">
      <w:pPr>
        <w:pStyle w:val="Heading1"/>
      </w:pPr>
      <w:bookmarkStart w:id="92" w:name="_Toc246228998"/>
      <w:r>
        <w:t>Bibliography</w:t>
      </w:r>
      <w:bookmarkEnd w:id="92"/>
      <w:r w:rsidR="00AA220A">
        <w:rPr>
          <w:rStyle w:val="CommentReference"/>
          <w:rFonts w:ascii="Times New Roman" w:hAnsi="Times New Roman"/>
          <w:b w:val="0"/>
          <w:i w:val="0"/>
          <w:vanish/>
        </w:rPr>
        <w:t xml:space="preserve"> </w:t>
      </w:r>
    </w:p>
    <w:sectPr w:rsidR="00AA220A" w:rsidSect="00935FFC">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0E4" w:rsidRDefault="00BB40E4">
      <w:r>
        <w:separator/>
      </w:r>
    </w:p>
  </w:endnote>
  <w:endnote w:type="continuationSeparator" w:id="0">
    <w:p w:rsidR="00BB40E4" w:rsidRDefault="00BB40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9F24A4">
    <w:pPr>
      <w:pStyle w:val="Footer"/>
      <w:rPr>
        <w:rFonts w:ascii="Arial" w:hAnsi="Arial" w:cs="Arial"/>
        <w:i/>
        <w:sz w:val="16"/>
      </w:rPr>
    </w:pPr>
    <w:fldSimple w:instr=" TITLE  \* MERGEFORMAT ">
      <w:r w:rsidR="00FB7642">
        <w:rPr>
          <w:rFonts w:ascii="Arial" w:hAnsi="Arial" w:cs="Arial"/>
          <w:i/>
          <w:sz w:val="16"/>
        </w:rPr>
        <w:t>Improved Alerting</w:t>
      </w:r>
    </w:fldSimple>
    <w:r w:rsidR="00AA220A">
      <w:rPr>
        <w:rFonts w:ascii="Arial" w:hAnsi="Arial" w:cs="Arial"/>
        <w:i/>
        <w:sz w:val="16"/>
      </w:rPr>
      <w:t xml:space="preserve"> (as of </w:t>
    </w:r>
    <w:r>
      <w:rPr>
        <w:rFonts w:ascii="Arial" w:hAnsi="Arial" w:cs="Arial"/>
        <w:i/>
        <w:sz w:val="16"/>
      </w:rPr>
      <w:fldChar w:fldCharType="begin"/>
    </w:r>
    <w:r w:rsidR="00AA220A">
      <w:rPr>
        <w:rFonts w:ascii="Arial" w:hAnsi="Arial" w:cs="Arial"/>
        <w:i/>
        <w:sz w:val="16"/>
      </w:rPr>
      <w:instrText xml:space="preserve"> SAVEDATE \@ "dd-MMM-yyyy h:mm am/pm" \* MERGEFORMAT </w:instrText>
    </w:r>
    <w:r>
      <w:rPr>
        <w:rFonts w:ascii="Arial" w:hAnsi="Arial" w:cs="Arial"/>
        <w:i/>
        <w:sz w:val="16"/>
      </w:rPr>
      <w:fldChar w:fldCharType="separate"/>
    </w:r>
    <w:r w:rsidR="002B2B54">
      <w:rPr>
        <w:rFonts w:ascii="Arial" w:hAnsi="Arial" w:cs="Arial"/>
        <w:i/>
        <w:noProof/>
        <w:sz w:val="16"/>
      </w:rPr>
      <w:t>17-Nov-2009 1:47 PM</w:t>
    </w:r>
    <w:r>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9F24A4">
      <w:rPr>
        <w:rStyle w:val="PageNumber"/>
        <w:rFonts w:ascii="Arial" w:hAnsi="Arial" w:cs="Arial"/>
        <w:i/>
        <w:sz w:val="16"/>
      </w:rPr>
      <w:fldChar w:fldCharType="begin"/>
    </w:r>
    <w:r>
      <w:rPr>
        <w:rStyle w:val="PageNumber"/>
        <w:rFonts w:ascii="Arial" w:hAnsi="Arial" w:cs="Arial"/>
        <w:i/>
        <w:sz w:val="16"/>
      </w:rPr>
      <w:instrText xml:space="preserve"> PAGE </w:instrText>
    </w:r>
    <w:r w:rsidR="009F24A4">
      <w:rPr>
        <w:rStyle w:val="PageNumber"/>
        <w:rFonts w:ascii="Arial" w:hAnsi="Arial" w:cs="Arial"/>
        <w:i/>
        <w:sz w:val="16"/>
      </w:rPr>
      <w:fldChar w:fldCharType="separate"/>
    </w:r>
    <w:r w:rsidR="00483652">
      <w:rPr>
        <w:rStyle w:val="PageNumber"/>
        <w:rFonts w:ascii="Arial" w:hAnsi="Arial" w:cs="Arial"/>
        <w:i/>
        <w:noProof/>
        <w:sz w:val="16"/>
      </w:rPr>
      <w:t>3</w:t>
    </w:r>
    <w:r w:rsidR="009F24A4">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0E4" w:rsidRDefault="00BB40E4">
      <w:r>
        <w:separator/>
      </w:r>
    </w:p>
  </w:footnote>
  <w:footnote w:type="continuationSeparator" w:id="0">
    <w:p w:rsidR="00BB40E4" w:rsidRDefault="00BB40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7456D50"/>
    <w:multiLevelType w:val="hybridMultilevel"/>
    <w:tmpl w:val="EE9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3">
    <w:nsid w:val="3369721B"/>
    <w:multiLevelType w:val="hybridMultilevel"/>
    <w:tmpl w:val="9EB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904D9"/>
    <w:multiLevelType w:val="hybridMultilevel"/>
    <w:tmpl w:val="62AA9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C14596"/>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5260AB"/>
    <w:multiLevelType w:val="singleLevel"/>
    <w:tmpl w:val="50A2E392"/>
    <w:lvl w:ilvl="0">
      <w:start w:val="1"/>
      <w:numFmt w:val="decimal"/>
      <w:lvlText w:val="%1)"/>
      <w:legacy w:legacy="1" w:legacySpace="0" w:legacyIndent="360"/>
      <w:lvlJc w:val="left"/>
      <w:pPr>
        <w:ind w:left="360" w:hanging="360"/>
      </w:pPr>
    </w:lvl>
  </w:abstractNum>
  <w:abstractNum w:abstractNumId="7">
    <w:nsid w:val="49840EF4"/>
    <w:multiLevelType w:val="hybridMultilevel"/>
    <w:tmpl w:val="BB9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90F72"/>
    <w:multiLevelType w:val="hybridMultilevel"/>
    <w:tmpl w:val="964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74D29"/>
    <w:multiLevelType w:val="hybridMultilevel"/>
    <w:tmpl w:val="D4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1">
    <w:nsid w:val="67AD35FF"/>
    <w:multiLevelType w:val="hybridMultilevel"/>
    <w:tmpl w:val="1E365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82982"/>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C04013"/>
    <w:multiLevelType w:val="hybridMultilevel"/>
    <w:tmpl w:val="A594C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0"/>
  </w:num>
  <w:num w:numId="4">
    <w:abstractNumId w:val="15"/>
  </w:num>
  <w:num w:numId="5">
    <w:abstractNumId w:val="6"/>
  </w:num>
  <w:num w:numId="6">
    <w:abstractNumId w:val="13"/>
  </w:num>
  <w:num w:numId="7">
    <w:abstractNumId w:val="3"/>
  </w:num>
  <w:num w:numId="8">
    <w:abstractNumId w:val="8"/>
  </w:num>
  <w:num w:numId="9">
    <w:abstractNumId w:val="7"/>
  </w:num>
  <w:num w:numId="10">
    <w:abstractNumId w:val="14"/>
  </w:num>
  <w:num w:numId="11">
    <w:abstractNumId w:val="11"/>
  </w:num>
  <w:num w:numId="12">
    <w:abstractNumId w:val="9"/>
  </w:num>
  <w:num w:numId="13">
    <w:abstractNumId w:val="5"/>
  </w:num>
  <w:num w:numId="14">
    <w:abstractNumId w:val="4"/>
  </w:num>
  <w:num w:numId="15">
    <w:abstractNumId w:val="1"/>
  </w:num>
  <w:num w:numId="16">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0373BA"/>
    <w:rsid w:val="00002351"/>
    <w:rsid w:val="00006FE9"/>
    <w:rsid w:val="00007131"/>
    <w:rsid w:val="00023A9D"/>
    <w:rsid w:val="0002680A"/>
    <w:rsid w:val="0003219C"/>
    <w:rsid w:val="000373BA"/>
    <w:rsid w:val="0005492A"/>
    <w:rsid w:val="00097372"/>
    <w:rsid w:val="000B65D4"/>
    <w:rsid w:val="000C2FDE"/>
    <w:rsid w:val="000F16F5"/>
    <w:rsid w:val="001076BF"/>
    <w:rsid w:val="00117530"/>
    <w:rsid w:val="00134806"/>
    <w:rsid w:val="0016404D"/>
    <w:rsid w:val="00170B12"/>
    <w:rsid w:val="00197846"/>
    <w:rsid w:val="001C5C8B"/>
    <w:rsid w:val="001F4E6F"/>
    <w:rsid w:val="00212A49"/>
    <w:rsid w:val="00256267"/>
    <w:rsid w:val="00256BA9"/>
    <w:rsid w:val="002829F0"/>
    <w:rsid w:val="00290930"/>
    <w:rsid w:val="00291939"/>
    <w:rsid w:val="002B2B54"/>
    <w:rsid w:val="002D3F74"/>
    <w:rsid w:val="002E644A"/>
    <w:rsid w:val="002F6863"/>
    <w:rsid w:val="0030103B"/>
    <w:rsid w:val="00320EBC"/>
    <w:rsid w:val="003210D6"/>
    <w:rsid w:val="00322F09"/>
    <w:rsid w:val="003512D6"/>
    <w:rsid w:val="0035622C"/>
    <w:rsid w:val="00361CBC"/>
    <w:rsid w:val="003663FA"/>
    <w:rsid w:val="003708D4"/>
    <w:rsid w:val="00383667"/>
    <w:rsid w:val="00396D59"/>
    <w:rsid w:val="003A17C4"/>
    <w:rsid w:val="003C17F0"/>
    <w:rsid w:val="003D4839"/>
    <w:rsid w:val="00400057"/>
    <w:rsid w:val="00465F75"/>
    <w:rsid w:val="004660A4"/>
    <w:rsid w:val="00483652"/>
    <w:rsid w:val="0048574A"/>
    <w:rsid w:val="004A27D3"/>
    <w:rsid w:val="004A3A8C"/>
    <w:rsid w:val="004D17B4"/>
    <w:rsid w:val="0059104F"/>
    <w:rsid w:val="00591AEB"/>
    <w:rsid w:val="005B1896"/>
    <w:rsid w:val="005C1B46"/>
    <w:rsid w:val="005C22D4"/>
    <w:rsid w:val="005C7526"/>
    <w:rsid w:val="005D02E0"/>
    <w:rsid w:val="005E1E94"/>
    <w:rsid w:val="00605688"/>
    <w:rsid w:val="0061150A"/>
    <w:rsid w:val="00643AEB"/>
    <w:rsid w:val="00657A4B"/>
    <w:rsid w:val="00682744"/>
    <w:rsid w:val="00685C01"/>
    <w:rsid w:val="006A6B15"/>
    <w:rsid w:val="006D7D1D"/>
    <w:rsid w:val="006E63A1"/>
    <w:rsid w:val="006E7E7F"/>
    <w:rsid w:val="00710670"/>
    <w:rsid w:val="00717115"/>
    <w:rsid w:val="00726B56"/>
    <w:rsid w:val="00743810"/>
    <w:rsid w:val="00787989"/>
    <w:rsid w:val="007931D9"/>
    <w:rsid w:val="007B2F81"/>
    <w:rsid w:val="007F5A19"/>
    <w:rsid w:val="00805335"/>
    <w:rsid w:val="0081244E"/>
    <w:rsid w:val="00817BA0"/>
    <w:rsid w:val="00840751"/>
    <w:rsid w:val="00845FCB"/>
    <w:rsid w:val="008547DB"/>
    <w:rsid w:val="008708B1"/>
    <w:rsid w:val="008B0721"/>
    <w:rsid w:val="008B1921"/>
    <w:rsid w:val="008B4609"/>
    <w:rsid w:val="008C34FD"/>
    <w:rsid w:val="008C7A07"/>
    <w:rsid w:val="008E0F98"/>
    <w:rsid w:val="008E240E"/>
    <w:rsid w:val="008F10DF"/>
    <w:rsid w:val="008F14B7"/>
    <w:rsid w:val="008F70E8"/>
    <w:rsid w:val="00914F8C"/>
    <w:rsid w:val="00926D3C"/>
    <w:rsid w:val="00935FFC"/>
    <w:rsid w:val="00953A2B"/>
    <w:rsid w:val="009559A3"/>
    <w:rsid w:val="00965326"/>
    <w:rsid w:val="009670DE"/>
    <w:rsid w:val="00981681"/>
    <w:rsid w:val="0099310F"/>
    <w:rsid w:val="00993E00"/>
    <w:rsid w:val="009A2FA9"/>
    <w:rsid w:val="009C3CD4"/>
    <w:rsid w:val="009D383A"/>
    <w:rsid w:val="009F24A4"/>
    <w:rsid w:val="009F6C2D"/>
    <w:rsid w:val="009F7228"/>
    <w:rsid w:val="00A158FB"/>
    <w:rsid w:val="00A201AA"/>
    <w:rsid w:val="00A279DB"/>
    <w:rsid w:val="00A51E69"/>
    <w:rsid w:val="00A814B5"/>
    <w:rsid w:val="00A91E09"/>
    <w:rsid w:val="00A940DB"/>
    <w:rsid w:val="00AA220A"/>
    <w:rsid w:val="00AF7959"/>
    <w:rsid w:val="00B21878"/>
    <w:rsid w:val="00B26068"/>
    <w:rsid w:val="00B6137C"/>
    <w:rsid w:val="00B640E5"/>
    <w:rsid w:val="00B81F6B"/>
    <w:rsid w:val="00B8791E"/>
    <w:rsid w:val="00BB40E4"/>
    <w:rsid w:val="00BF002A"/>
    <w:rsid w:val="00C46ACA"/>
    <w:rsid w:val="00C6121B"/>
    <w:rsid w:val="00C640AA"/>
    <w:rsid w:val="00CB294B"/>
    <w:rsid w:val="00CE6604"/>
    <w:rsid w:val="00CF3941"/>
    <w:rsid w:val="00D03F85"/>
    <w:rsid w:val="00D07E46"/>
    <w:rsid w:val="00D170BF"/>
    <w:rsid w:val="00D25E28"/>
    <w:rsid w:val="00D56552"/>
    <w:rsid w:val="00DA66AC"/>
    <w:rsid w:val="00DB03AF"/>
    <w:rsid w:val="00DC16FF"/>
    <w:rsid w:val="00DD4A44"/>
    <w:rsid w:val="00DF541B"/>
    <w:rsid w:val="00E04567"/>
    <w:rsid w:val="00E36A7E"/>
    <w:rsid w:val="00E47844"/>
    <w:rsid w:val="00E706CB"/>
    <w:rsid w:val="00E87FA3"/>
    <w:rsid w:val="00E961F2"/>
    <w:rsid w:val="00EC4FD8"/>
    <w:rsid w:val="00ED5423"/>
    <w:rsid w:val="00EF0EF6"/>
    <w:rsid w:val="00EF7931"/>
    <w:rsid w:val="00F13461"/>
    <w:rsid w:val="00F2158D"/>
    <w:rsid w:val="00F2637C"/>
    <w:rsid w:val="00F359F7"/>
    <w:rsid w:val="00F37477"/>
    <w:rsid w:val="00F44DD0"/>
    <w:rsid w:val="00F51342"/>
    <w:rsid w:val="00F61D6A"/>
    <w:rsid w:val="00F71812"/>
    <w:rsid w:val="00F8038E"/>
    <w:rsid w:val="00F80F73"/>
    <w:rsid w:val="00F96AD4"/>
    <w:rsid w:val="00FB7642"/>
    <w:rsid w:val="00FD3ED1"/>
    <w:rsid w:val="00FF19C7"/>
    <w:rsid w:val="00FF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FFC"/>
  </w:style>
  <w:style w:type="paragraph" w:styleId="Heading1">
    <w:name w:val="heading 1"/>
    <w:basedOn w:val="Normal"/>
    <w:next w:val="BodyText"/>
    <w:qFormat/>
    <w:rsid w:val="00935FFC"/>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935FFC"/>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935FFC"/>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935FFC"/>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935FFC"/>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935FFC"/>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935FFC"/>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935FFC"/>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935FFC"/>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5FFC"/>
    <w:pPr>
      <w:tabs>
        <w:tab w:val="center" w:pos="4320"/>
        <w:tab w:val="right" w:pos="8640"/>
      </w:tabs>
    </w:pPr>
  </w:style>
  <w:style w:type="paragraph" w:styleId="Footer">
    <w:name w:val="footer"/>
    <w:basedOn w:val="Normal"/>
    <w:rsid w:val="00935FFC"/>
    <w:pPr>
      <w:tabs>
        <w:tab w:val="center" w:pos="4320"/>
        <w:tab w:val="right" w:pos="8640"/>
      </w:tabs>
    </w:pPr>
  </w:style>
  <w:style w:type="paragraph" w:styleId="TOC1">
    <w:name w:val="toc 1"/>
    <w:basedOn w:val="Normal"/>
    <w:next w:val="Normal"/>
    <w:autoRedefine/>
    <w:uiPriority w:val="39"/>
    <w:rsid w:val="00935FFC"/>
    <w:pPr>
      <w:tabs>
        <w:tab w:val="right" w:leader="dot" w:pos="9360"/>
      </w:tabs>
      <w:spacing w:before="120" w:after="120"/>
    </w:pPr>
    <w:rPr>
      <w:b/>
      <w:caps/>
    </w:rPr>
  </w:style>
  <w:style w:type="paragraph" w:styleId="TOC2">
    <w:name w:val="toc 2"/>
    <w:basedOn w:val="Normal"/>
    <w:next w:val="Normal"/>
    <w:autoRedefine/>
    <w:uiPriority w:val="39"/>
    <w:rsid w:val="00935FFC"/>
    <w:pPr>
      <w:tabs>
        <w:tab w:val="right" w:leader="dot" w:pos="9360"/>
      </w:tabs>
    </w:pPr>
    <w:rPr>
      <w:smallCaps/>
    </w:rPr>
  </w:style>
  <w:style w:type="paragraph" w:styleId="TOC3">
    <w:name w:val="toc 3"/>
    <w:basedOn w:val="Normal"/>
    <w:next w:val="Normal"/>
    <w:autoRedefine/>
    <w:uiPriority w:val="39"/>
    <w:rsid w:val="00935FFC"/>
    <w:pPr>
      <w:tabs>
        <w:tab w:val="right" w:leader="dot" w:pos="9360"/>
      </w:tabs>
      <w:ind w:left="200"/>
    </w:pPr>
    <w:rPr>
      <w:i/>
    </w:rPr>
  </w:style>
  <w:style w:type="paragraph" w:styleId="NormalIndent">
    <w:name w:val="Normal Indent"/>
    <w:basedOn w:val="Normal"/>
    <w:rsid w:val="00935FFC"/>
    <w:pPr>
      <w:ind w:left="720"/>
    </w:pPr>
  </w:style>
  <w:style w:type="paragraph" w:styleId="TOC4">
    <w:name w:val="toc 4"/>
    <w:basedOn w:val="Normal"/>
    <w:next w:val="Normal"/>
    <w:autoRedefine/>
    <w:semiHidden/>
    <w:rsid w:val="00935FFC"/>
    <w:pPr>
      <w:tabs>
        <w:tab w:val="right" w:leader="dot" w:pos="9360"/>
      </w:tabs>
      <w:ind w:left="600"/>
    </w:pPr>
  </w:style>
  <w:style w:type="paragraph" w:styleId="TOC5">
    <w:name w:val="toc 5"/>
    <w:basedOn w:val="Normal"/>
    <w:next w:val="Normal"/>
    <w:autoRedefine/>
    <w:semiHidden/>
    <w:rsid w:val="00935FFC"/>
    <w:pPr>
      <w:tabs>
        <w:tab w:val="right" w:leader="dot" w:pos="9360"/>
      </w:tabs>
      <w:ind w:left="800"/>
    </w:pPr>
  </w:style>
  <w:style w:type="paragraph" w:styleId="TOC6">
    <w:name w:val="toc 6"/>
    <w:basedOn w:val="Normal"/>
    <w:next w:val="Normal"/>
    <w:autoRedefine/>
    <w:semiHidden/>
    <w:rsid w:val="00935FFC"/>
    <w:pPr>
      <w:tabs>
        <w:tab w:val="right" w:leader="dot" w:pos="9360"/>
      </w:tabs>
      <w:ind w:left="1000"/>
    </w:pPr>
  </w:style>
  <w:style w:type="paragraph" w:styleId="TOC7">
    <w:name w:val="toc 7"/>
    <w:basedOn w:val="Normal"/>
    <w:next w:val="Normal"/>
    <w:autoRedefine/>
    <w:semiHidden/>
    <w:rsid w:val="00935FFC"/>
    <w:pPr>
      <w:tabs>
        <w:tab w:val="right" w:leader="dot" w:pos="9360"/>
      </w:tabs>
      <w:ind w:left="1200"/>
    </w:pPr>
  </w:style>
  <w:style w:type="paragraph" w:styleId="TOC8">
    <w:name w:val="toc 8"/>
    <w:basedOn w:val="Normal"/>
    <w:next w:val="Normal"/>
    <w:autoRedefine/>
    <w:semiHidden/>
    <w:rsid w:val="00935FFC"/>
    <w:pPr>
      <w:tabs>
        <w:tab w:val="right" w:leader="dot" w:pos="9360"/>
      </w:tabs>
      <w:ind w:left="1400"/>
    </w:pPr>
  </w:style>
  <w:style w:type="paragraph" w:styleId="TOC9">
    <w:name w:val="toc 9"/>
    <w:basedOn w:val="Normal"/>
    <w:next w:val="Normal"/>
    <w:autoRedefine/>
    <w:semiHidden/>
    <w:rsid w:val="00935FFC"/>
    <w:pPr>
      <w:tabs>
        <w:tab w:val="right" w:leader="dot" w:pos="9360"/>
      </w:tabs>
      <w:ind w:left="1600"/>
    </w:pPr>
  </w:style>
  <w:style w:type="character" w:styleId="PageNumber">
    <w:name w:val="page number"/>
    <w:basedOn w:val="DefaultParagraphFont"/>
    <w:rsid w:val="00935FFC"/>
  </w:style>
  <w:style w:type="character" w:styleId="CommentReference">
    <w:name w:val="annotation reference"/>
    <w:basedOn w:val="DefaultParagraphFont"/>
    <w:semiHidden/>
    <w:rsid w:val="00935FFC"/>
    <w:rPr>
      <w:sz w:val="16"/>
    </w:rPr>
  </w:style>
  <w:style w:type="paragraph" w:styleId="CommentText">
    <w:name w:val="annotation text"/>
    <w:basedOn w:val="Normal"/>
    <w:semiHidden/>
    <w:rsid w:val="00935FFC"/>
  </w:style>
  <w:style w:type="paragraph" w:customStyle="1" w:styleId="Codeexample">
    <w:name w:val="Code example"/>
    <w:basedOn w:val="Normal"/>
    <w:rsid w:val="00935FFC"/>
    <w:pPr>
      <w:ind w:left="144"/>
    </w:pPr>
    <w:rPr>
      <w:rFonts w:ascii="Courier New" w:hAnsi="Courier New"/>
      <w:noProof/>
    </w:rPr>
  </w:style>
  <w:style w:type="paragraph" w:styleId="BodyText">
    <w:name w:val="Body Text"/>
    <w:basedOn w:val="Normal"/>
    <w:rsid w:val="00935FFC"/>
    <w:pPr>
      <w:spacing w:after="120"/>
    </w:pPr>
  </w:style>
  <w:style w:type="character" w:styleId="Hyperlink">
    <w:name w:val="Hyperlink"/>
    <w:basedOn w:val="DefaultParagraphFont"/>
    <w:rsid w:val="00935FFC"/>
    <w:rPr>
      <w:color w:val="0000FF"/>
      <w:u w:val="single"/>
    </w:rPr>
  </w:style>
  <w:style w:type="paragraph" w:styleId="DocumentMap">
    <w:name w:val="Document Map"/>
    <w:basedOn w:val="Normal"/>
    <w:semiHidden/>
    <w:rsid w:val="00935FFC"/>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s>
</file>

<file path=word/webSettings.xml><?xml version="1.0" encoding="utf-8"?>
<w:webSettings xmlns:r="http://schemas.openxmlformats.org/officeDocument/2006/relationships" xmlns:w="http://schemas.openxmlformats.org/wordprocessingml/2006/main">
  <w:divs>
    <w:div w:id="322202559">
      <w:bodyDiv w:val="1"/>
      <w:marLeft w:val="2"/>
      <w:marRight w:val="2"/>
      <w:marTop w:val="0"/>
      <w:marBottom w:val="0"/>
      <w:divBdr>
        <w:top w:val="none" w:sz="0" w:space="0" w:color="auto"/>
        <w:left w:val="none" w:sz="0" w:space="0" w:color="auto"/>
        <w:bottom w:val="none" w:sz="0" w:space="0" w:color="auto"/>
        <w:right w:val="none" w:sz="0" w:space="0" w:color="auto"/>
      </w:divBdr>
      <w:divsChild>
        <w:div w:id="2076196148">
          <w:marLeft w:val="0"/>
          <w:marRight w:val="0"/>
          <w:marTop w:val="0"/>
          <w:marBottom w:val="0"/>
          <w:divBdr>
            <w:top w:val="none" w:sz="0" w:space="0" w:color="auto"/>
            <w:left w:val="none" w:sz="0" w:space="0" w:color="auto"/>
            <w:bottom w:val="none" w:sz="0" w:space="0" w:color="auto"/>
            <w:right w:val="none" w:sz="0" w:space="0" w:color="auto"/>
          </w:divBdr>
          <w:divsChild>
            <w:div w:id="1980258400">
              <w:marLeft w:val="0"/>
              <w:marRight w:val="0"/>
              <w:marTop w:val="0"/>
              <w:marBottom w:val="0"/>
              <w:divBdr>
                <w:top w:val="none" w:sz="0" w:space="0" w:color="auto"/>
                <w:left w:val="none" w:sz="0" w:space="0" w:color="auto"/>
                <w:bottom w:val="none" w:sz="0" w:space="0" w:color="auto"/>
                <w:right w:val="none" w:sz="0" w:space="0" w:color="auto"/>
              </w:divBdr>
              <w:divsChild>
                <w:div w:id="2056001784">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383479603">
      <w:bodyDiv w:val="1"/>
      <w:marLeft w:val="0"/>
      <w:marRight w:val="0"/>
      <w:marTop w:val="0"/>
      <w:marBottom w:val="0"/>
      <w:divBdr>
        <w:top w:val="none" w:sz="0" w:space="0" w:color="auto"/>
        <w:left w:val="none" w:sz="0" w:space="0" w:color="auto"/>
        <w:bottom w:val="none" w:sz="0" w:space="0" w:color="auto"/>
        <w:right w:val="none" w:sz="0" w:space="0" w:color="auto"/>
      </w:divBdr>
    </w:div>
    <w:div w:id="1405251756">
      <w:bodyDiv w:val="1"/>
      <w:marLeft w:val="2"/>
      <w:marRight w:val="2"/>
      <w:marTop w:val="0"/>
      <w:marBottom w:val="0"/>
      <w:divBdr>
        <w:top w:val="none" w:sz="0" w:space="0" w:color="auto"/>
        <w:left w:val="none" w:sz="0" w:space="0" w:color="auto"/>
        <w:bottom w:val="none" w:sz="0" w:space="0" w:color="auto"/>
        <w:right w:val="none" w:sz="0" w:space="0" w:color="auto"/>
      </w:divBdr>
      <w:divsChild>
        <w:div w:id="1224562813">
          <w:marLeft w:val="0"/>
          <w:marRight w:val="0"/>
          <w:marTop w:val="0"/>
          <w:marBottom w:val="0"/>
          <w:divBdr>
            <w:top w:val="none" w:sz="0" w:space="0" w:color="auto"/>
            <w:left w:val="none" w:sz="0" w:space="0" w:color="auto"/>
            <w:bottom w:val="none" w:sz="0" w:space="0" w:color="auto"/>
            <w:right w:val="none" w:sz="0" w:space="0" w:color="auto"/>
          </w:divBdr>
          <w:divsChild>
            <w:div w:id="1748379546">
              <w:marLeft w:val="0"/>
              <w:marRight w:val="0"/>
              <w:marTop w:val="0"/>
              <w:marBottom w:val="0"/>
              <w:divBdr>
                <w:top w:val="none" w:sz="0" w:space="0" w:color="auto"/>
                <w:left w:val="none" w:sz="0" w:space="0" w:color="auto"/>
                <w:bottom w:val="none" w:sz="0" w:space="0" w:color="auto"/>
                <w:right w:val="none" w:sz="0" w:space="0" w:color="auto"/>
              </w:divBdr>
              <w:divsChild>
                <w:div w:id="6029695">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510292853">
      <w:bodyDiv w:val="1"/>
      <w:marLeft w:val="2"/>
      <w:marRight w:val="2"/>
      <w:marTop w:val="0"/>
      <w:marBottom w:val="0"/>
      <w:divBdr>
        <w:top w:val="none" w:sz="0" w:space="0" w:color="auto"/>
        <w:left w:val="none" w:sz="0" w:space="0" w:color="auto"/>
        <w:bottom w:val="none" w:sz="0" w:space="0" w:color="auto"/>
        <w:right w:val="none" w:sz="0" w:space="0" w:color="auto"/>
      </w:divBdr>
      <w:divsChild>
        <w:div w:id="1184322228">
          <w:marLeft w:val="0"/>
          <w:marRight w:val="0"/>
          <w:marTop w:val="0"/>
          <w:marBottom w:val="0"/>
          <w:divBdr>
            <w:top w:val="none" w:sz="0" w:space="0" w:color="auto"/>
            <w:left w:val="none" w:sz="0" w:space="0" w:color="auto"/>
            <w:bottom w:val="none" w:sz="0" w:space="0" w:color="auto"/>
            <w:right w:val="none" w:sz="0" w:space="0" w:color="auto"/>
          </w:divBdr>
          <w:divsChild>
            <w:div w:id="180901782">
              <w:marLeft w:val="0"/>
              <w:marRight w:val="0"/>
              <w:marTop w:val="0"/>
              <w:marBottom w:val="0"/>
              <w:divBdr>
                <w:top w:val="none" w:sz="0" w:space="0" w:color="auto"/>
                <w:left w:val="none" w:sz="0" w:space="0" w:color="auto"/>
                <w:bottom w:val="none" w:sz="0" w:space="0" w:color="auto"/>
                <w:right w:val="none" w:sz="0" w:space="0" w:color="auto"/>
              </w:divBdr>
              <w:divsChild>
                <w:div w:id="473572732">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2077050322">
      <w:bodyDiv w:val="1"/>
      <w:marLeft w:val="2"/>
      <w:marRight w:val="2"/>
      <w:marTop w:val="0"/>
      <w:marBottom w:val="0"/>
      <w:divBdr>
        <w:top w:val="none" w:sz="0" w:space="0" w:color="auto"/>
        <w:left w:val="none" w:sz="0" w:space="0" w:color="auto"/>
        <w:bottom w:val="none" w:sz="0" w:space="0" w:color="auto"/>
        <w:right w:val="none" w:sz="0" w:space="0" w:color="auto"/>
      </w:divBdr>
      <w:divsChild>
        <w:div w:id="1562204913">
          <w:marLeft w:val="0"/>
          <w:marRight w:val="0"/>
          <w:marTop w:val="0"/>
          <w:marBottom w:val="0"/>
          <w:divBdr>
            <w:top w:val="none" w:sz="0" w:space="0" w:color="auto"/>
            <w:left w:val="none" w:sz="0" w:space="0" w:color="auto"/>
            <w:bottom w:val="none" w:sz="0" w:space="0" w:color="auto"/>
            <w:right w:val="none" w:sz="0" w:space="0" w:color="auto"/>
          </w:divBdr>
          <w:divsChild>
            <w:div w:id="2142770473">
              <w:marLeft w:val="0"/>
              <w:marRight w:val="0"/>
              <w:marTop w:val="0"/>
              <w:marBottom w:val="0"/>
              <w:divBdr>
                <w:top w:val="none" w:sz="0" w:space="0" w:color="auto"/>
                <w:left w:val="none" w:sz="0" w:space="0" w:color="auto"/>
                <w:bottom w:val="none" w:sz="0" w:space="0" w:color="auto"/>
                <w:right w:val="none" w:sz="0" w:space="0" w:color="auto"/>
              </w:divBdr>
              <w:divsChild>
                <w:div w:id="323780390">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Owner xmlns="DD743E7F-21A6-4685-8D82-1D0878C2E030">Robert Wilkinson</Owner>
    <Status xmlns="DD743E7F-21A6-4685-8D82-1D0878C2E030">Rough</Status>
    <SPSDescription xmlns="DD743E7F-21A6-4685-8D82-1D0878C2E030">Improved Alerting Specification</SPSDescription>
    <DocType xmlns="DD743E7F-21A6-4685-8D82-1D0878C2E030">Document Template</Doc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3E74DDA62185468D821D0878C2E030" ma:contentTypeVersion="0" ma:contentTypeDescription="Create a new document." ma:contentTypeScope="" ma:versionID="c5e4e534e5d47928de346d8b864b4732">
  <xsd:schema xmlns:xsd="http://www.w3.org/2001/XMLSchema" xmlns:p="http://schemas.microsoft.com/office/2006/metadata/properties" xmlns:ns2="DD743E7F-21A6-4685-8D82-1D0878C2E030" targetNamespace="http://schemas.microsoft.com/office/2006/metadata/properties" ma:root="true" ma:fieldsID="13b47ac84e9e93ae06dce60a2547b35b" ns2:_="">
    <xsd:import namespace="DD743E7F-21A6-4685-8D82-1D0878C2E030"/>
    <xsd:element name="properties">
      <xsd:complexType>
        <xsd:sequence>
          <xsd:element name="documentManagement">
            <xsd:complexType>
              <xsd:all>
                <xsd:element ref="ns2:Owner" minOccurs="0"/>
                <xsd:element ref="ns2:SPSDescription" minOccurs="0"/>
                <xsd:element ref="ns2:Status" minOccurs="0"/>
                <xsd:element ref="ns2:DocType" minOccurs="0"/>
              </xsd:all>
            </xsd:complexType>
          </xsd:element>
        </xsd:sequence>
      </xsd:complexType>
    </xsd:element>
  </xsd:schema>
  <xsd:schema xmlns:xsd="http://www.w3.org/2001/XMLSchema" xmlns:dms="http://schemas.microsoft.com/office/2006/documentManagement/types" targetNamespace="DD743E7F-21A6-4685-8D82-1D0878C2E030" elementFormDefault="qualified">
    <xsd:import namespace="http://schemas.microsoft.com/office/2006/documentManagement/types"/>
    <xsd:element name="Owner" ma:index="8" nillable="true" ma:displayName="Owner" ma:internalName="Owner">
      <xsd:simpleType>
        <xsd:restriction base="dms:Text"/>
      </xsd:simpleType>
    </xsd:element>
    <xsd:element name="SPSDescription" ma:index="9" nillable="true" ma:displayName="Description" ma:internalName="SPSDescription">
      <xsd:simpleType>
        <xsd:restriction base="dms:Note"/>
      </xsd:simpleType>
    </xsd:element>
    <xsd:element name="Status" ma:index="10" nillable="true" ma:displayName="Status" ma:internalName="Status">
      <xsd:simpleType>
        <xsd:restriction base="dms:Choice">
          <xsd:enumeration value="Rough"/>
          <xsd:enumeration value="Draft"/>
          <xsd:enumeration value="In Review"/>
          <xsd:enumeration value="Final"/>
        </xsd:restriction>
      </xsd:simpleType>
    </xsd:element>
    <xsd:element name="DocType" ma:index="11" nillable="true" ma:displayName="DocType" ma:default="General" ma:description="Type of document - used to control which views a dccument shows up in" ma:format="Dropdown" ma:internalName="DocType">
      <xsd:simpleType>
        <xsd:restriction base="dms:Choice">
          <xsd:enumeration value="General"/>
          <xsd:enumeration value="Developer Guide"/>
          <xsd:enumeration value="Document Template"/>
          <xsd:enumeration value="Implementation"/>
          <xsd:enumeration value="Job Fair"/>
          <xsd:enumeration value="Licensing"/>
          <xsd:enumeration value="License Agre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63ECA-7ADB-4251-9CC4-C3A1BE727682}">
  <ds:schemaRefs>
    <ds:schemaRef ds:uri="http://schemas.microsoft.com/office/2006/metadata/properties"/>
    <ds:schemaRef ds:uri="DD743E7F-21A6-4685-8D82-1D0878C2E030"/>
  </ds:schemaRefs>
</ds:datastoreItem>
</file>

<file path=customXml/itemProps2.xml><?xml version="1.0" encoding="utf-8"?>
<ds:datastoreItem xmlns:ds="http://schemas.openxmlformats.org/officeDocument/2006/customXml" ds:itemID="{0C939E41-7C93-49F8-9F66-5A1AF814BC03}">
  <ds:schemaRefs>
    <ds:schemaRef ds:uri="http://schemas.microsoft.com/sharepoint/v3/contenttype/forms"/>
  </ds:schemaRefs>
</ds:datastoreItem>
</file>

<file path=customXml/itemProps3.xml><?xml version="1.0" encoding="utf-8"?>
<ds:datastoreItem xmlns:ds="http://schemas.openxmlformats.org/officeDocument/2006/customXml" ds:itemID="{FC1A0E3D-AD1A-48B0-BB00-E16E8214D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43E7F-21A6-4685-8D82-1D0878C2E03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EB87E84-1E58-4AED-B68F-6B7F2FF1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15</TotalTime>
  <Pages>14</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Improved Alerting</vt:lpstr>
    </vt:vector>
  </TitlesOfParts>
  <Company>Thunder God Software, LLC.</Company>
  <LinksUpToDate>false</LinksUpToDate>
  <CharactersWithSpaces>13249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Alerting</dc:title>
  <dc:subject/>
  <dc:creator>Robert Wilkinson</dc:creator>
  <cp:keywords/>
  <cp:lastModifiedBy>rwilkinson</cp:lastModifiedBy>
  <cp:revision>9</cp:revision>
  <cp:lastPrinted>1998-09-03T13:22:00Z</cp:lastPrinted>
  <dcterms:created xsi:type="dcterms:W3CDTF">2009-11-17T19:40:00Z</dcterms:created>
  <dcterms:modified xsi:type="dcterms:W3CDTF">2009-11-17T21:08:00Z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300.000000000000</vt:lpwstr>
  </property>
</Properties>
</file>