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All STL containers are passed by value(&amp;).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array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&lt;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,</w:t>
      </w:r>
      <w:r>
        <w:rPr>
          <w:rFonts w:ascii="Droid Sans Mono;monospace;monospace" w:hAnsi="Droid Sans Mono;monospace;monospace"/>
          <w:b w:val="false"/>
          <w:color w:val="F78C6C"/>
          <w:sz w:val="21"/>
          <w:shd w:fill="011627" w:val="clear"/>
        </w:rPr>
        <w:t>6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&amp;</w:t>
      </w:r>
      <w:r>
        <w:rPr>
          <w:rFonts w:ascii="Droid Sans Mono;monospace;monospace" w:hAnsi="Droid Sans Mono;monospace;monospace"/>
          <w:b w:val="false"/>
          <w:color w:val="D7DBE0"/>
          <w:sz w:val="21"/>
          <w:shd w:fill="011627" w:val="clear"/>
        </w:rPr>
        <w:t>ar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pace" w:hAnsi="Droid Sans Mono;monospace;monospace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for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(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cout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ECC48D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dynamic arrays with the ability to resize itself when an element is inserted.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Continuous memory allocation, reallocation happens when underlying array is full.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doubles it’s size at time of reallocation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uses dynamic memory allocation.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Methods:-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at()\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reserve()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 is sequence container with dynamic sizes that can be expanded or contracted on both sides 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Elements of a deque can be scattered in different chunks of storage.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Important methods: -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push_front()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Queue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LibreOffice/7.3.4.2$Linux_X86_64 LibreOffice_project/30$Build-2</Application>
  <AppVersion>15.0000</AppVersion>
  <Pages>2</Pages>
  <Words>308</Words>
  <Characters>1633</Characters>
  <CharactersWithSpaces>1842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2022-07-12T16:51:05Z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