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AnnaSetu — Technical Architecture &amp; Stack</w:t>
      </w:r>
    </w:p>
    <w:p>
      <w:pPr>
        <w:jc w:val="center"/>
      </w:pPr>
      <w:r>
        <w:t>Detailed implementation architecture</w:t>
      </w:r>
    </w:p>
    <w:p>
      <w:r>
        <w:t>AnnaSetu • Detailed Prototype Specification • September 2026</w:t>
      </w:r>
    </w:p>
    <w:p>
      <w:pPr>
        <w:pStyle w:val="Heading1"/>
      </w:pPr>
      <w:r>
        <w:t>1. Architecture goals</w:t>
      </w:r>
    </w:p>
    <w:p>
      <w:pPr>
        <w:pStyle w:val="ListBullet"/>
      </w:pPr>
      <w:r>
        <w:t>Fast D-day delivery for one developer plus an AI coding agent.</w:t>
      </w:r>
    </w:p>
    <w:p>
      <w:pPr>
        <w:pStyle w:val="ListBullet"/>
      </w:pPr>
      <w:r>
        <w:t>Real persistence and real business logic for core flows.</w:t>
      </w:r>
    </w:p>
    <w:p>
      <w:pPr>
        <w:pStyle w:val="ListBullet"/>
      </w:pPr>
      <w:r>
        <w:t>Simple deployment and debugging.</w:t>
      </w:r>
    </w:p>
    <w:p>
      <w:pPr>
        <w:pStyle w:val="ListBullet"/>
      </w:pPr>
      <w:r>
        <w:t>Strong separation between UI, API, data and Smart Engine.</w:t>
      </w:r>
    </w:p>
    <w:p>
      <w:pPr>
        <w:pStyle w:val="ListBullet"/>
      </w:pPr>
      <w:r>
        <w:t>Easy future path to real auth/government/SMS/hardware integration.</w:t>
      </w:r>
    </w:p>
    <w:p>
      <w:pPr>
        <w:pStyle w:val="ListBullet"/>
      </w:pPr>
      <w:r>
        <w:t>No microservice complexity unless a concrete need emerges.</w:t>
      </w:r>
    </w:p>
    <w:p>
      <w:pPr>
        <w:pStyle w:val="Heading1"/>
      </w:pPr>
      <w:r>
        <w:t>2.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Choice</w:t>
            </w:r>
          </w:p>
        </w:tc>
        <w:tc>
          <w:tcPr>
            <w:tcW w:type="dxa" w:w="3408"/>
          </w:tcPr>
          <w:p>
            <w:r>
              <w:t>Implementation notes</w:t>
            </w:r>
          </w:p>
        </w:tc>
      </w:tr>
      <w:tr>
        <w:tc>
          <w:tcPr>
            <w:tcW w:type="dxa" w:w="3408"/>
          </w:tcPr>
          <w:p>
            <w:r>
              <w:t>Web</w:t>
            </w:r>
          </w:p>
        </w:tc>
        <w:tc>
          <w:tcPr>
            <w:tcW w:type="dxa" w:w="3408"/>
          </w:tcPr>
          <w:p>
            <w:r>
              <w:t>Next.js (App Router) + React + TypeScript</w:t>
            </w:r>
          </w:p>
        </w:tc>
        <w:tc>
          <w:tcPr>
            <w:tcW w:type="dxa" w:w="3408"/>
          </w:tcPr>
          <w:p>
            <w:r>
              <w:t>One application, role routes, server/client components as appropriate.</w:t>
            </w:r>
          </w:p>
        </w:tc>
      </w:tr>
      <w:tr>
        <w:tc>
          <w:tcPr>
            <w:tcW w:type="dxa" w:w="3408"/>
          </w:tcPr>
          <w:p>
            <w:r>
              <w:t>UI</w:t>
            </w:r>
          </w:p>
        </w:tc>
        <w:tc>
          <w:tcPr>
            <w:tcW w:type="dxa" w:w="3408"/>
          </w:tcPr>
          <w:p>
            <w:r>
              <w:t>Tailwind CSS + accessible component primitives</w:t>
            </w:r>
          </w:p>
        </w:tc>
        <w:tc>
          <w:tcPr>
            <w:tcW w:type="dxa" w:w="3408"/>
          </w:tcPr>
          <w:p>
            <w:r>
              <w:t>Reusable cards, tables, dialogs, forms, badges.</w:t>
            </w:r>
          </w:p>
        </w:tc>
      </w:tr>
      <w:tr>
        <w:tc>
          <w:tcPr>
            <w:tcW w:type="dxa" w:w="3408"/>
          </w:tcPr>
          <w:p>
            <w:r>
              <w:t>Forms</w:t>
            </w:r>
          </w:p>
        </w:tc>
        <w:tc>
          <w:tcPr>
            <w:tcW w:type="dxa" w:w="3408"/>
          </w:tcPr>
          <w:p>
            <w:r>
              <w:t>React Hook Form + Zod</w:t>
            </w:r>
          </w:p>
        </w:tc>
        <w:tc>
          <w:tcPr>
            <w:tcW w:type="dxa" w:w="3408"/>
          </w:tcPr>
          <w:p>
            <w:r>
              <w:t>Client validation; server remains authoritative.</w:t>
            </w:r>
          </w:p>
        </w:tc>
      </w:tr>
      <w:tr>
        <w:tc>
          <w:tcPr>
            <w:tcW w:type="dxa" w:w="3408"/>
          </w:tcPr>
          <w:p>
            <w:r>
              <w:t>Charts</w:t>
            </w:r>
          </w:p>
        </w:tc>
        <w:tc>
          <w:tcPr>
            <w:tcW w:type="dxa" w:w="3408"/>
          </w:tcPr>
          <w:p>
            <w:r>
              <w:t>Recharts</w:t>
            </w:r>
          </w:p>
        </w:tc>
        <w:tc>
          <w:tcPr>
            <w:tcW w:type="dxa" w:w="3408"/>
          </w:tcPr>
          <w:p>
            <w:r>
              <w:t>Centre/admin analytics.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FastAPI + Python 3.12+</w:t>
            </w:r>
          </w:p>
        </w:tc>
        <w:tc>
          <w:tcPr>
            <w:tcW w:type="dxa" w:w="3408"/>
          </w:tcPr>
          <w:p>
            <w:r>
              <w:t>REST, validation, OpenAPI.</w:t>
            </w:r>
          </w:p>
        </w:tc>
      </w:tr>
      <w:tr>
        <w:tc>
          <w:tcPr>
            <w:tcW w:type="dxa" w:w="3408"/>
          </w:tcPr>
          <w:p>
            <w:r>
              <w:t>Models</w:t>
            </w:r>
          </w:p>
        </w:tc>
        <w:tc>
          <w:tcPr>
            <w:tcW w:type="dxa" w:w="3408"/>
          </w:tcPr>
          <w:p>
            <w:r>
              <w:t>Pydantic v2</w:t>
            </w:r>
          </w:p>
        </w:tc>
        <w:tc>
          <w:tcPr>
            <w:tcW w:type="dxa" w:w="3408"/>
          </w:tcPr>
          <w:p>
            <w:r>
              <w:t>Request/response DTOs.</w:t>
            </w:r>
          </w:p>
        </w:tc>
      </w:tr>
      <w:tr>
        <w:tc>
          <w:tcPr>
            <w:tcW w:type="dxa" w:w="3408"/>
          </w:tcPr>
          <w:p>
            <w:r>
              <w:t>Persistence</w:t>
            </w:r>
          </w:p>
        </w:tc>
        <w:tc>
          <w:tcPr>
            <w:tcW w:type="dxa" w:w="3408"/>
          </w:tcPr>
          <w:p>
            <w:r>
              <w:t>PostgreSQL via Supabase</w:t>
            </w:r>
          </w:p>
        </w:tc>
        <w:tc>
          <w:tcPr>
            <w:tcW w:type="dxa" w:w="3408"/>
          </w:tcPr>
          <w:p>
            <w:r>
              <w:t>Relational transactions, indexes, constraints.</w:t>
            </w:r>
          </w:p>
        </w:tc>
      </w:tr>
      <w:tr>
        <w:tc>
          <w:tcPr>
            <w:tcW w:type="dxa" w:w="3408"/>
          </w:tcPr>
          <w:p>
            <w:r>
              <w:t>ORM/migrations</w:t>
            </w:r>
          </w:p>
        </w:tc>
        <w:tc>
          <w:tcPr>
            <w:tcW w:type="dxa" w:w="3408"/>
          </w:tcPr>
          <w:p>
            <w:r>
              <w:t>SQLAlchemy 2 + Alembic</w:t>
            </w:r>
          </w:p>
        </w:tc>
        <w:tc>
          <w:tcPr>
            <w:tcW w:type="dxa" w:w="3408"/>
          </w:tcPr>
          <w:p>
            <w:r>
              <w:t>Explicit schema and migrations.</w:t>
            </w:r>
          </w:p>
        </w:tc>
      </w:tr>
      <w:tr>
        <w:tc>
          <w:tcPr>
            <w:tcW w:type="dxa" w:w="3408"/>
          </w:tcPr>
          <w:p>
            <w:r>
              <w:t>Auth path</w:t>
            </w:r>
          </w:p>
        </w:tc>
        <w:tc>
          <w:tcPr>
            <w:tcW w:type="dxa" w:w="3408"/>
          </w:tcPr>
          <w:p>
            <w:r>
              <w:t>Supabase Auth abstraction</w:t>
            </w:r>
          </w:p>
        </w:tc>
        <w:tc>
          <w:tcPr>
            <w:tcW w:type="dxa" w:w="3408"/>
          </w:tcPr>
          <w:p>
            <w:r>
              <w:t>Mock role session now; real auth later.</w:t>
            </w:r>
          </w:p>
        </w:tc>
      </w:tr>
      <w:tr>
        <w:tc>
          <w:tcPr>
            <w:tcW w:type="dxa" w:w="3408"/>
          </w:tcPr>
          <w:p>
            <w:r>
              <w:t>Notifications</w:t>
            </w:r>
          </w:p>
        </w:tc>
        <w:tc>
          <w:tcPr>
            <w:tcW w:type="dxa" w:w="3408"/>
          </w:tcPr>
          <w:p>
            <w:r>
              <w:t>Internal notification service + provider interface</w:t>
            </w:r>
          </w:p>
        </w:tc>
        <w:tc>
          <w:tcPr>
            <w:tcW w:type="dxa" w:w="3408"/>
          </w:tcPr>
          <w:p>
            <w:r>
              <w:t>SMS optional.</w:t>
            </w:r>
          </w:p>
        </w:tc>
      </w:tr>
      <w:tr>
        <w:tc>
          <w:tcPr>
            <w:tcW w:type="dxa" w:w="3408"/>
          </w:tcPr>
          <w:p>
            <w:r>
              <w:t>Maps</w:t>
            </w:r>
          </w:p>
        </w:tc>
        <w:tc>
          <w:tcPr>
            <w:tcW w:type="dxa" w:w="3408"/>
          </w:tcPr>
          <w:p>
            <w:r>
              <w:t>Haversine distance initially</w:t>
            </w:r>
          </w:p>
        </w:tc>
        <w:tc>
          <w:tcPr>
            <w:tcW w:type="dxa" w:w="3408"/>
          </w:tcPr>
          <w:p>
            <w:r>
              <w:t>Avoid API dependency for core recommendation.</w:t>
            </w:r>
          </w:p>
        </w:tc>
      </w:tr>
      <w:tr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Vercel for Next.js; FastAPI hosted separately</w:t>
            </w:r>
          </w:p>
        </w:tc>
        <w:tc>
          <w:tcPr>
            <w:tcW w:type="dxa" w:w="3408"/>
          </w:tcPr>
          <w:p>
            <w:r>
              <w:t>API host can be Render/Railway/Fly/etc. if needed.</w:t>
            </w:r>
          </w:p>
        </w:tc>
      </w:tr>
      <w:tr>
        <w:tc>
          <w:tcPr>
            <w:tcW w:type="dxa" w:w="3408"/>
          </w:tcPr>
          <w:p>
            <w:r>
              <w:t>Source control</w:t>
            </w:r>
          </w:p>
        </w:tc>
        <w:tc>
          <w:tcPr>
            <w:tcW w:type="dxa" w:w="3408"/>
          </w:tcPr>
          <w:p>
            <w:r>
              <w:t>GitHub</w:t>
            </w:r>
          </w:p>
        </w:tc>
        <w:tc>
          <w:tcPr>
            <w:tcW w:type="dxa" w:w="3408"/>
          </w:tcPr>
          <w:p>
            <w:r>
              <w:t>Branching and issue/task workflow.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Pytest + HTTPX/TestClient; Playwright for critical UI</w:t>
            </w:r>
          </w:p>
        </w:tc>
        <w:tc>
          <w:tcPr>
            <w:tcW w:type="dxa" w:w="3408"/>
          </w:tcPr>
          <w:p>
            <w:r>
              <w:t>P0 business rules must be automated.</w:t>
            </w:r>
          </w:p>
        </w:tc>
      </w:tr>
    </w:tbl>
    <w:p>
      <w:pPr>
        <w:pStyle w:val="Heading1"/>
      </w:pPr>
      <w:r>
        <w:t>3. Monorepo structure</w:t>
      </w:r>
    </w:p>
    <w:p>
      <w:r>
        <w:rPr>
          <w:rFonts w:ascii="Consolas" w:hAnsi="Consolas"/>
          <w:sz w:val="16"/>
        </w:rPr>
        <w:t>/apps/web</w:t>
        <w:br/>
        <w:t xml:space="preserve">  /app</w:t>
        <w:br/>
        <w:t xml:space="preserve">  /components</w:t>
        <w:br/>
        <w:t xml:space="preserve">  /lib/api</w:t>
        <w:br/>
        <w:t xml:space="preserve">  /lib/auth</w:t>
        <w:br/>
        <w:t xml:space="preserve">  /lib/types</w:t>
        <w:br/>
        <w:t xml:space="preserve">  /styles</w:t>
        <w:br/>
        <w:t>/services/api</w:t>
        <w:br/>
        <w:t xml:space="preserve">  /app/api</w:t>
        <w:br/>
        <w:t xml:space="preserve">  /app/models</w:t>
        <w:br/>
        <w:t xml:space="preserve">  /app/schemas</w:t>
        <w:br/>
        <w:t xml:space="preserve">  /app/services</w:t>
        <w:br/>
        <w:t xml:space="preserve">  /app/smart_engine</w:t>
        <w:br/>
        <w:t xml:space="preserve">  /app/repositories</w:t>
        <w:br/>
        <w:t xml:space="preserve">  /app/audit</w:t>
        <w:br/>
        <w:t xml:space="preserve">  /app/notifications</w:t>
        <w:br/>
        <w:t xml:space="preserve">  /app/simulation</w:t>
        <w:br/>
        <w:t xml:space="preserve">  /tests</w:t>
        <w:br/>
        <w:t>/database</w:t>
        <w:br/>
        <w:t xml:space="preserve">  /migrations</w:t>
        <w:br/>
        <w:t xml:space="preserve">  /seed</w:t>
        <w:br/>
        <w:t>/docs</w:t>
        <w:br/>
        <w:t xml:space="preserve">  six specification documents</w:t>
      </w:r>
    </w:p>
    <w:p>
      <w:pPr>
        <w:pStyle w:val="Heading1"/>
      </w:pPr>
      <w:r>
        <w:t>4. Environment variables</w:t>
      </w:r>
    </w:p>
    <w:p>
      <w:pPr>
        <w:pStyle w:val="ListBullet"/>
      </w:pPr>
      <w:r>
        <w:t>NEXT_PUBLIC_API_BASE_URL</w:t>
      </w:r>
    </w:p>
    <w:p>
      <w:pPr>
        <w:pStyle w:val="ListBullet"/>
      </w:pPr>
      <w:r>
        <w:t>NEXT_PUBLIC_SUPABASE_URL</w:t>
      </w:r>
    </w:p>
    <w:p>
      <w:pPr>
        <w:pStyle w:val="ListBullet"/>
      </w:pPr>
      <w:r>
        <w:t>NEXT_PUBLIC_SUPABASE_ANON_KEY</w:t>
      </w:r>
    </w:p>
    <w:p>
      <w:pPr>
        <w:pStyle w:val="ListBullet"/>
      </w:pPr>
      <w:r>
        <w:t>DATABASE_URL</w:t>
      </w:r>
    </w:p>
    <w:p>
      <w:pPr>
        <w:pStyle w:val="ListBullet"/>
      </w:pPr>
      <w:r>
        <w:t>SMS_PROVIDER_* (optional)</w:t>
      </w:r>
    </w:p>
    <w:p>
      <w:pPr>
        <w:pStyle w:val="ListBullet"/>
      </w:pPr>
      <w:r>
        <w:t>DEMO_MODE=true/false</w:t>
      </w:r>
    </w:p>
    <w:p>
      <w:r>
        <w:t>Never put database service-role credentials or provider secrets into browser-exposed variables.</w:t>
      </w:r>
    </w:p>
    <w:p>
      <w:pPr>
        <w:pStyle w:val="Heading1"/>
      </w:pPr>
      <w:r>
        <w:t>5. Backend module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booking</w:t>
            </w:r>
          </w:p>
        </w:tc>
        <w:tc>
          <w:tcPr>
            <w:tcW w:type="dxa" w:w="5112"/>
          </w:tcPr>
          <w:p>
            <w:r>
              <w:t>Validation, availability, create/cancel/reschedule.</w:t>
            </w:r>
          </w:p>
        </w:tc>
      </w:tr>
      <w:tr>
        <w:tc>
          <w:tcPr>
            <w:tcW w:type="dxa" w:w="5112"/>
          </w:tcPr>
          <w:p>
            <w:r>
              <w:t>recommendation</w:t>
            </w:r>
          </w:p>
        </w:tc>
        <w:tc>
          <w:tcPr>
            <w:tcW w:type="dxa" w:w="5112"/>
          </w:tcPr>
          <w:p>
            <w:r>
              <w:t>Candidate filtering, scoring, explanations.</w:t>
            </w:r>
          </w:p>
        </w:tc>
      </w:tr>
      <w:tr>
        <w:tc>
          <w:tcPr>
            <w:tcW w:type="dxa" w:w="5112"/>
          </w:tcPr>
          <w:p>
            <w:r>
              <w:t>queue</w:t>
            </w:r>
          </w:p>
        </w:tc>
        <w:tc>
          <w:tcPr>
            <w:tcW w:type="dxa" w:w="5112"/>
          </w:tcPr>
          <w:p>
            <w:r>
              <w:t>Arrival, fair ordering, ETA, current serving.</w:t>
            </w:r>
          </w:p>
        </w:tc>
      </w:tr>
      <w:tr>
        <w:tc>
          <w:tcPr>
            <w:tcW w:type="dxa" w:w="5112"/>
          </w:tcPr>
          <w:p>
            <w:r>
              <w:t>procurement</w:t>
            </w:r>
          </w:p>
        </w:tc>
        <w:tc>
          <w:tcPr>
            <w:tcW w:type="dxa" w:w="5112"/>
          </w:tcPr>
          <w:p>
            <w:r>
              <w:t>Weighing, quality, completion.</w:t>
            </w:r>
          </w:p>
        </w:tc>
      </w:tr>
      <w:tr>
        <w:tc>
          <w:tcPr>
            <w:tcW w:type="dxa" w:w="5112"/>
          </w:tcPr>
          <w:p>
            <w:r>
              <w:t>dispute</w:t>
            </w:r>
          </w:p>
        </w:tc>
        <w:tc>
          <w:tcPr>
            <w:tcW w:type="dxa" w:w="5112"/>
          </w:tcPr>
          <w:p>
            <w:r>
              <w:t>Quantity discrepancy tickets.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Storage/daily processing snapshots and mutations.</w:t>
            </w:r>
          </w:p>
        </w:tc>
      </w:tr>
      <w:tr>
        <w:tc>
          <w:tcPr>
            <w:tcW w:type="dxa" w:w="5112"/>
          </w:tcPr>
          <w:p>
            <w:r>
              <w:t>notification</w:t>
            </w:r>
          </w:p>
        </w:tc>
        <w:tc>
          <w:tcPr>
            <w:tcW w:type="dxa" w:w="5112"/>
          </w:tcPr>
          <w:p>
            <w:r>
              <w:t>Templates, persistence, provider dispatch.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Append-only business event log.</w:t>
            </w:r>
          </w:p>
        </w:tc>
      </w:tr>
      <w:tr>
        <w:tc>
          <w:tcPr>
            <w:tcW w:type="dxa" w:w="5112"/>
          </w:tcPr>
          <w:p>
            <w:r>
              <w:t>simulation</w:t>
            </w:r>
          </w:p>
        </w:tc>
        <w:tc>
          <w:tcPr>
            <w:tcW w:type="dxa" w:w="5112"/>
          </w:tcPr>
          <w:p>
            <w:r>
              <w:t>Deterministic demo-state transitions.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Centre, staff, commodity configuration.</w:t>
            </w:r>
          </w:p>
        </w:tc>
      </w:tr>
    </w:tbl>
    <w:p>
      <w:pPr>
        <w:pStyle w:val="Heading1"/>
      </w:pPr>
      <w:r>
        <w:t>6. Smart Engine</w:t>
      </w:r>
    </w:p>
    <w:p>
      <w:r>
        <w:t>Use a deterministic explainable engine for the prototype. Do not fake an ML model or claim predictive accuracy unsupported by data. Design a Python interface so an ML predictor can later replace the processing-rate/ETA component.</w:t>
      </w:r>
    </w:p>
    <w:p>
      <w:r>
        <w:rPr>
          <w:rFonts w:ascii="Consolas" w:hAnsi="Consolas"/>
          <w:sz w:val="16"/>
        </w:rPr>
        <w:t>RecommendationEngine.recommend(request, candidates, state)</w:t>
        <w:br/>
        <w:t xml:space="preserve">  -&gt; RecommendationResult</w:t>
        <w:br/>
        <w:br/>
        <w:t>Pipeline:</w:t>
        <w:br/>
        <w:t>1. Validate requested date/time and quantity.</w:t>
        <w:br/>
        <w:t>2. Find centres accepting commodity.</w:t>
        <w:br/>
        <w:t>3. Remove centres with insufficient remaining capacity.</w:t>
        <w:br/>
        <w:t>4. Generate available slot candidates.</w:t>
        <w:br/>
        <w:t>5. Estimate workload/ETA for each candidate.</w:t>
        <w:br/>
        <w:t>6. Calculate distance.</w:t>
        <w:br/>
        <w:t>7. Calculate configurable recommendation score.</w:t>
        <w:br/>
        <w:t>8. Rank and return recommendation + alternatives + reasons.</w:t>
      </w:r>
    </w:p>
    <w:p>
      <w:r>
        <w:t>Prototype weights may be: expected wait 35%, capacity fit 25%, distance 20%, preferred-time match 10%, congestion/operational fit 10%. These are implementation defaults, not government policy. Keep them configurable.</w:t>
      </w:r>
    </w:p>
    <w:p>
      <w:pPr>
        <w:pStyle w:val="Heading1"/>
      </w:pPr>
      <w:r>
        <w:t>7. ETA model</w:t>
      </w:r>
    </w:p>
    <w:p>
      <w:r>
        <w:t>Use quantity ahead of the farmer divided by current processing rate, adjusted by slot/arrival constraints. If historical observations exist in seed data, calculate a simple rolling/seeded processing rate. Return both estimated_wait_minutes and calculated_at.</w:t>
      </w:r>
    </w:p>
    <w:p>
      <w:pPr>
        <w:pStyle w:val="Heading1"/>
      </w:pPr>
      <w:r>
        <w:t>8. Real-time strategy</w:t>
      </w:r>
    </w:p>
    <w:p>
      <w:r>
        <w:t>For prototype, use polling (e.g. 5–10 seconds on active staff dashboard) to avoid adding WebSocket complexity. Architect event/service boundaries so Supabase Realtime or WebSockets can be added later.</w:t>
      </w:r>
    </w:p>
    <w:p>
      <w:pPr>
        <w:pStyle w:val="Heading1"/>
      </w:pPr>
      <w:r>
        <w:t>9. Authorization</w:t>
      </w:r>
    </w:p>
    <w:p>
      <w:pPr>
        <w:pStyle w:val="ListBullet"/>
      </w:pPr>
      <w:r>
        <w:t>Farmer scope: own records only.</w:t>
      </w:r>
    </w:p>
    <w:p>
      <w:pPr>
        <w:pStyle w:val="ListBullet"/>
      </w:pPr>
      <w:r>
        <w:t>Staff scope: exactly one assigned centre.</w:t>
      </w:r>
    </w:p>
    <w:p>
      <w:pPr>
        <w:pStyle w:val="ListBullet"/>
      </w:pPr>
      <w:r>
        <w:t>CSC: assisted-booking scope; no operational controls.</w:t>
      </w:r>
    </w:p>
    <w:p>
      <w:pPr>
        <w:pStyle w:val="ListBullet"/>
      </w:pPr>
      <w:r>
        <w:t>Admin: global configuration and audit.</w:t>
      </w:r>
    </w:p>
    <w:p>
      <w:pPr>
        <w:pStyle w:val="ListBullet"/>
      </w:pPr>
      <w:r>
        <w:t>Every protected endpoint checks role server-side.</w:t>
      </w:r>
    </w:p>
    <w:p>
      <w:pPr>
        <w:pStyle w:val="Heading1"/>
      </w:pPr>
      <w:r>
        <w:t>10. Transactions and consistency</w:t>
      </w:r>
    </w:p>
    <w:p>
      <w:r>
        <w:t>Arrival, no-show, weighing, quality and procurement completion are business mutations. Use DB transactions where multiple rows change together. Example: recording a no-show should update booking status, queue state and capacity-availability metadata atomically.</w:t>
      </w:r>
    </w:p>
    <w:p>
      <w:pPr>
        <w:pStyle w:val="Heading1"/>
      </w:pPr>
      <w:r>
        <w:t>11. Audit architecture</w:t>
      </w:r>
    </w:p>
    <w:p>
      <w:r>
        <w:t>Audit every mutation involving status, quantity, capacity, payment status, disputes, staff assignment and admin configuration. Store actor, role, centre, entity type/id, action, old JSON, new JSON, reason, timestamp and request ID. Audit records are append-only.</w:t>
      </w:r>
    </w:p>
    <w:p>
      <w:pPr>
        <w:pStyle w:val="Heading1"/>
      </w:pPr>
      <w:r>
        <w:t>12. Security/privacy</w:t>
      </w:r>
    </w:p>
    <w:p>
      <w:pPr>
        <w:pStyle w:val="ListBullet"/>
      </w:pPr>
      <w:r>
        <w:t>Use fake demo government IDs.</w:t>
      </w:r>
    </w:p>
    <w:p>
      <w:pPr>
        <w:pStyle w:val="ListBullet"/>
      </w:pPr>
      <w:r>
        <w:t>Mask any identifier shown in UI.</w:t>
      </w:r>
    </w:p>
    <w:p>
      <w:pPr>
        <w:pStyle w:val="ListBullet"/>
      </w:pPr>
      <w:r>
        <w:t>No real Aadhaar numbers in database, logs or screenshots.</w:t>
      </w:r>
    </w:p>
    <w:p>
      <w:pPr>
        <w:pStyle w:val="ListBullet"/>
      </w:pPr>
      <w:r>
        <w:t>Validate authorization on server.</w:t>
      </w:r>
    </w:p>
    <w:p>
      <w:pPr>
        <w:pStyle w:val="ListBullet"/>
      </w:pPr>
      <w:r>
        <w:t>Rate-limit future OTP endpoints.</w:t>
      </w:r>
    </w:p>
    <w:p>
      <w:pPr>
        <w:pStyle w:val="ListBullet"/>
      </w:pPr>
      <w:r>
        <w:t>Use HTTPS in deployment.</w:t>
      </w:r>
    </w:p>
    <w:p>
      <w:pPr>
        <w:pStyle w:val="ListBullet"/>
      </w:pPr>
      <w:r>
        <w:t>Separate public client keys from server secrets.</w:t>
      </w:r>
    </w:p>
    <w:p>
      <w:pPr>
        <w:pStyle w:val="ListBullet"/>
      </w:pPr>
      <w:r>
        <w:t>Sanitize notification templates.</w:t>
      </w:r>
    </w:p>
    <w:p>
      <w:pPr>
        <w:pStyle w:val="ListBullet"/>
      </w:pPr>
      <w:r>
        <w:t>Do not expose audit data to farmers unless specifically relevant.</w:t>
      </w:r>
    </w:p>
    <w:p>
      <w:pPr>
        <w:pStyle w:val="Heading1"/>
      </w:pPr>
      <w:r>
        <w:t>13. Deployment</w:t>
      </w:r>
    </w:p>
    <w:p>
      <w:r>
        <w:t>Deploy web on Vercel. Deploy FastAPI as a small service. Use Supabase PostgreSQL. Configure CORS only for the deployed frontend domain plus local development. Add /health and /version endpoints.</w:t>
      </w:r>
    </w:p>
    <w:p>
      <w:pPr>
        <w:pStyle w:val="Heading1"/>
      </w:pPr>
      <w:r>
        <w:t>14. Failure handling</w:t>
      </w:r>
    </w:p>
    <w:p>
      <w:pPr>
        <w:pStyle w:val="ListBullet"/>
      </w:pPr>
      <w:r>
        <w:t>Loading/error states for every network mutation.</w:t>
      </w:r>
    </w:p>
    <w:p>
      <w:pPr>
        <w:pStyle w:val="ListBullet"/>
      </w:pPr>
      <w:r>
        <w:t>Idempotency keys for future notification/payment-like operations; booking creation should use a client request ID to avoid accidental duplicate creation.</w:t>
      </w:r>
    </w:p>
    <w:p>
      <w:pPr>
        <w:pStyle w:val="ListBullet"/>
      </w:pPr>
      <w:r>
        <w:t>Graceful retry for GETs and safe retry for idempotent mutations.</w:t>
      </w:r>
    </w:p>
    <w:p>
      <w:pPr>
        <w:pStyle w:val="ListBullet"/>
      </w:pPr>
      <w:r>
        <w:t>Friendly error if API unavailable.</w:t>
      </w:r>
    </w:p>
    <w:p>
      <w:pPr>
        <w:pStyle w:val="ListBullet"/>
      </w:pPr>
      <w:r>
        <w:t>Never silently pretend a mutation succeeded.</w:t>
      </w:r>
    </w:p>
    <w:p>
      <w:pPr>
        <w:pStyle w:val="Heading1"/>
      </w:pPr>
      <w:r>
        <w:t>15. Future integration adapters</w:t>
      </w:r>
    </w:p>
    <w:p>
      <w:pPr>
        <w:pStyle w:val="ListBullet"/>
      </w:pPr>
      <w:r>
        <w:t>Government identity adapter</w:t>
      </w:r>
    </w:p>
    <w:p>
      <w:pPr>
        <w:pStyle w:val="ListBullet"/>
      </w:pPr>
      <w:r>
        <w:t>Government procurement adapter</w:t>
      </w:r>
    </w:p>
    <w:p>
      <w:pPr>
        <w:pStyle w:val="ListBullet"/>
      </w:pPr>
      <w:r>
        <w:t>Government payment-status adapter</w:t>
      </w:r>
    </w:p>
    <w:p>
      <w:pPr>
        <w:pStyle w:val="ListBullet"/>
      </w:pPr>
      <w:r>
        <w:t>SMS adapter</w:t>
      </w:r>
    </w:p>
    <w:p>
      <w:pPr>
        <w:pStyle w:val="ListBullet"/>
      </w:pPr>
      <w:r>
        <w:t>Weighing hardware adapter</w:t>
      </w:r>
    </w:p>
    <w:p>
      <w:pPr>
        <w:pStyle w:val="ListBullet"/>
      </w:pPr>
      <w:r>
        <w:t>ML ETA predictor</w:t>
      </w:r>
    </w:p>
    <w:p>
      <w:pPr>
        <w:pStyle w:val="ListBullet"/>
      </w:pPr>
      <w:r>
        <w:t>Offline synchronization adapter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