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AnnaSetu — UI/UX Design System</w:t>
      </w:r>
    </w:p>
    <w:p>
      <w:pPr>
        <w:jc w:val="center"/>
      </w:pPr>
      <w:r>
        <w:t>Detailed screen and interaction specification</w:t>
      </w:r>
    </w:p>
    <w:p>
      <w:r>
        <w:t>AnnaSetu • Detailed Prototype Specification • September 2026</w:t>
      </w:r>
    </w:p>
    <w:p>
      <w:pPr>
        <w:pStyle w:val="Heading1"/>
      </w:pPr>
      <w:r>
        <w:t>1. Reference interpretation</w:t>
      </w:r>
    </w:p>
    <w:p>
      <w:r>
        <w:t>Use the supplied Dribbble Agriculture Landing Page as inspiration for agricultural warmth, organic imagery, rounded surfaces, whitespace and friendly visual tone. Do not copy its exact composition, text, assets or branding. AnnaSetu must look like an operational government service, not a marketing landing page.</w:t>
      </w:r>
    </w:p>
    <w:p>
      <w:pPr>
        <w:pStyle w:val="Heading1"/>
      </w:pPr>
      <w:r>
        <w:t>2. Design personality</w:t>
      </w:r>
    </w:p>
    <w:p>
      <w:pPr>
        <w:pStyle w:val="ListBullet"/>
      </w:pPr>
      <w:r>
        <w:t>Trustworthy</w:t>
      </w:r>
    </w:p>
    <w:p>
      <w:pPr>
        <w:pStyle w:val="ListBullet"/>
      </w:pPr>
      <w:r>
        <w:t>Simple</w:t>
      </w:r>
    </w:p>
    <w:p>
      <w:pPr>
        <w:pStyle w:val="ListBullet"/>
      </w:pPr>
      <w:r>
        <w:t>Agricultural</w:t>
      </w:r>
    </w:p>
    <w:p>
      <w:pPr>
        <w:pStyle w:val="ListBullet"/>
      </w:pPr>
      <w:r>
        <w:t>Modern government</w:t>
      </w:r>
    </w:p>
    <w:p>
      <w:pPr>
        <w:pStyle w:val="ListBullet"/>
      </w:pPr>
      <w:r>
        <w:t>Operationally clear</w:t>
      </w:r>
    </w:p>
    <w:p>
      <w:pPr>
        <w:pStyle w:val="ListBullet"/>
      </w:pPr>
      <w:r>
        <w:t>Human and non-technical on farmer screens</w:t>
      </w:r>
    </w:p>
    <w:p>
      <w:pPr>
        <w:pStyle w:val="Heading1"/>
      </w:pPr>
      <w:r>
        <w:t>3. Visual tokens</w:t>
      </w:r>
    </w:p>
    <w:tbl>
      <w:tblPr>
        <w:tblStyle w:val="TableGrid"/>
        <w:tblW w:type="auto" w:w="0"/>
        <w:tblLook w:firstColumn="1" w:firstRow="1" w:lastColumn="0" w:lastRow="0" w:noHBand="0" w:noVBand="1" w:val="04A0"/>
      </w:tblPr>
      <w:tblGrid>
        <w:gridCol w:w="5112"/>
        <w:gridCol w:w="5112"/>
      </w:tblGrid>
      <w:tr>
        <w:tc>
          <w:tcPr>
            <w:tcW w:type="dxa" w:w="5112"/>
          </w:tcPr>
          <w:p>
            <w:r>
              <w:t>Token</w:t>
            </w:r>
          </w:p>
        </w:tc>
        <w:tc>
          <w:tcPr>
            <w:tcW w:type="dxa" w:w="5112"/>
          </w:tcPr>
          <w:p>
            <w:r>
              <w:t>Recommendation</w:t>
            </w:r>
          </w:p>
        </w:tc>
      </w:tr>
      <w:tr>
        <w:tc>
          <w:tcPr>
            <w:tcW w:type="dxa" w:w="5112"/>
          </w:tcPr>
          <w:p>
            <w:r>
              <w:t>Primary</w:t>
            </w:r>
          </w:p>
        </w:tc>
        <w:tc>
          <w:tcPr>
            <w:tcW w:type="dxa" w:w="5112"/>
          </w:tcPr>
          <w:p>
            <w:r>
              <w:t>Deep agricultural green</w:t>
            </w:r>
          </w:p>
        </w:tc>
      </w:tr>
      <w:tr>
        <w:tc>
          <w:tcPr>
            <w:tcW w:type="dxa" w:w="5112"/>
          </w:tcPr>
          <w:p>
            <w:r>
              <w:t>Secondary</w:t>
            </w:r>
          </w:p>
        </w:tc>
        <w:tc>
          <w:tcPr>
            <w:tcW w:type="dxa" w:w="5112"/>
          </w:tcPr>
          <w:p>
            <w:r>
              <w:t>Leaf/olive green</w:t>
            </w:r>
          </w:p>
        </w:tc>
      </w:tr>
      <w:tr>
        <w:tc>
          <w:tcPr>
            <w:tcW w:type="dxa" w:w="5112"/>
          </w:tcPr>
          <w:p>
            <w:r>
              <w:t>Accent</w:t>
            </w:r>
          </w:p>
        </w:tc>
        <w:tc>
          <w:tcPr>
            <w:tcW w:type="dxa" w:w="5112"/>
          </w:tcPr>
          <w:p>
            <w:r>
              <w:t>Warm grain/yellow used sparingly</w:t>
            </w:r>
          </w:p>
        </w:tc>
      </w:tr>
      <w:tr>
        <w:tc>
          <w:tcPr>
            <w:tcW w:type="dxa" w:w="5112"/>
          </w:tcPr>
          <w:p>
            <w:r>
              <w:t>Background</w:t>
            </w:r>
          </w:p>
        </w:tc>
        <w:tc>
          <w:tcPr>
            <w:tcW w:type="dxa" w:w="5112"/>
          </w:tcPr>
          <w:p>
            <w:r>
              <w:t>Warm off-white/very light neutral</w:t>
            </w:r>
          </w:p>
        </w:tc>
      </w:tr>
      <w:tr>
        <w:tc>
          <w:tcPr>
            <w:tcW w:type="dxa" w:w="5112"/>
          </w:tcPr>
          <w:p>
            <w:r>
              <w:t>Text</w:t>
            </w:r>
          </w:p>
        </w:tc>
        <w:tc>
          <w:tcPr>
            <w:tcW w:type="dxa" w:w="5112"/>
          </w:tcPr>
          <w:p>
            <w:r>
              <w:t>Deep charcoal</w:t>
            </w:r>
          </w:p>
        </w:tc>
      </w:tr>
      <w:tr>
        <w:tc>
          <w:tcPr>
            <w:tcW w:type="dxa" w:w="5112"/>
          </w:tcPr>
          <w:p>
            <w:r>
              <w:t>Radius</w:t>
            </w:r>
          </w:p>
        </w:tc>
        <w:tc>
          <w:tcPr>
            <w:tcW w:type="dxa" w:w="5112"/>
          </w:tcPr>
          <w:p>
            <w:r>
              <w:t>12–16px cards; 10–12px controls</w:t>
            </w:r>
          </w:p>
        </w:tc>
      </w:tr>
      <w:tr>
        <w:tc>
          <w:tcPr>
            <w:tcW w:type="dxa" w:w="5112"/>
          </w:tcPr>
          <w:p>
            <w:r>
              <w:t>Spacing</w:t>
            </w:r>
          </w:p>
        </w:tc>
        <w:tc>
          <w:tcPr>
            <w:tcW w:type="dxa" w:w="5112"/>
          </w:tcPr>
          <w:p>
            <w:r>
              <w:t>8px base scale</w:t>
            </w:r>
          </w:p>
        </w:tc>
      </w:tr>
      <w:tr>
        <w:tc>
          <w:tcPr>
            <w:tcW w:type="dxa" w:w="5112"/>
          </w:tcPr>
          <w:p>
            <w:r>
              <w:t>Typography</w:t>
            </w:r>
          </w:p>
        </w:tc>
        <w:tc>
          <w:tcPr>
            <w:tcW w:type="dxa" w:w="5112"/>
          </w:tcPr>
          <w:p>
            <w:r>
              <w:t>Inter/Manrope-like sans for UI; highly readable numeric styles</w:t>
            </w:r>
          </w:p>
        </w:tc>
      </w:tr>
      <w:tr>
        <w:tc>
          <w:tcPr>
            <w:tcW w:type="dxa" w:w="5112"/>
          </w:tcPr>
          <w:p>
            <w:r>
              <w:t>Shadow</w:t>
            </w:r>
          </w:p>
        </w:tc>
        <w:tc>
          <w:tcPr>
            <w:tcW w:type="dxa" w:w="5112"/>
          </w:tcPr>
          <w:p>
            <w:r>
              <w:t>Subtle, low-contrast card elevation</w:t>
            </w:r>
          </w:p>
        </w:tc>
      </w:tr>
    </w:tbl>
    <w:p>
      <w:r>
        <w:t>Exact colors should be finalized after applying the reference. Avoid hard-coding color values across components; use design tokens.</w:t>
      </w:r>
    </w:p>
    <w:p>
      <w:pPr>
        <w:pStyle w:val="Heading1"/>
      </w:pPr>
      <w:r>
        <w:t>4. Role entry</w:t>
      </w:r>
    </w:p>
    <w:p>
      <w:r>
        <w:t>Screen: AnnaSetu logo/name, short value statement, four role cards/buttons, prototype banner. Role cards: Farmer, Procurement Centre, CSC Operator, Super Admin.</w:t>
      </w:r>
    </w:p>
    <w:p>
      <w:pPr>
        <w:pStyle w:val="Heading1"/>
      </w:pPr>
      <w:r>
        <w:t>5. Farmer navigation</w:t>
      </w:r>
    </w:p>
    <w:p>
      <w:r>
        <w:rPr>
          <w:rFonts w:ascii="Consolas" w:hAnsi="Consolas"/>
          <w:sz w:val="16"/>
        </w:rPr>
        <w:t>Home | Book Procurement | My Appointment | Live Status | Transactions | Notifications | Help</w:t>
      </w:r>
    </w:p>
    <w:p>
      <w:pPr>
        <w:pStyle w:val="Heading1"/>
      </w:pPr>
      <w:r>
        <w:t>6. Farmer screen specifications</w:t>
      </w:r>
    </w:p>
    <w:tbl>
      <w:tblPr>
        <w:tblStyle w:val="TableGrid"/>
        <w:tblW w:type="auto" w:w="0"/>
        <w:tblLook w:firstColumn="1" w:firstRow="1" w:lastColumn="0" w:lastRow="0" w:noHBand="0" w:noVBand="1" w:val="04A0"/>
      </w:tblPr>
      <w:tblGrid>
        <w:gridCol w:w="5112"/>
        <w:gridCol w:w="5112"/>
      </w:tblGrid>
      <w:tr>
        <w:tc>
          <w:tcPr>
            <w:tcW w:type="dxa" w:w="5112"/>
          </w:tcPr>
          <w:p>
            <w:r>
              <w:t>Screen</w:t>
            </w:r>
          </w:p>
        </w:tc>
        <w:tc>
          <w:tcPr>
            <w:tcW w:type="dxa" w:w="5112"/>
          </w:tcPr>
          <w:p>
            <w:r>
              <w:t>Required content</w:t>
            </w:r>
          </w:p>
        </w:tc>
      </w:tr>
      <w:tr>
        <w:tc>
          <w:tcPr>
            <w:tcW w:type="dxa" w:w="5112"/>
          </w:tcPr>
          <w:p>
            <w:r>
              <w:t>Home</w:t>
            </w:r>
          </w:p>
        </w:tc>
        <w:tc>
          <w:tcPr>
            <w:tcW w:type="dxa" w:w="5112"/>
          </w:tcPr>
          <w:p>
            <w:r>
              <w:t>Greeting, next appointment, ETA/status, quick-book CTA, recent transaction, notification badge.</w:t>
            </w:r>
          </w:p>
        </w:tc>
      </w:tr>
      <w:tr>
        <w:tc>
          <w:tcPr>
            <w:tcW w:type="dxa" w:w="5112"/>
          </w:tcPr>
          <w:p>
            <w:r>
              <w:t>Mock verification</w:t>
            </w:r>
          </w:p>
        </w:tc>
        <w:tc>
          <w:tcPr>
            <w:tcW w:type="dxa" w:w="5112"/>
          </w:tcPr>
          <w:p>
            <w:r>
              <w:t>Government ID field, masked preview, mobile field, OTP fields, 'Demo verification' indicator; never imply live eKYC.</w:t>
            </w:r>
          </w:p>
        </w:tc>
      </w:tr>
      <w:tr>
        <w:tc>
          <w:tcPr>
            <w:tcW w:type="dxa" w:w="5112"/>
          </w:tcPr>
          <w:p>
            <w:r>
              <w:t>Booking</w:t>
            </w:r>
          </w:p>
        </w:tc>
        <w:tc>
          <w:tcPr>
            <w:tcW w:type="dxa" w:w="5112"/>
          </w:tcPr>
          <w:p>
            <w:r>
              <w:t>Commodity selector, expected quantity in quintals, date picker, preferred time window, centre/location selector, recommendation CTA.</w:t>
            </w:r>
          </w:p>
        </w:tc>
      </w:tr>
      <w:tr>
        <w:tc>
          <w:tcPr>
            <w:tcW w:type="dxa" w:w="5112"/>
          </w:tcPr>
          <w:p>
            <w:r>
              <w:t>Recommendation</w:t>
            </w:r>
          </w:p>
        </w:tc>
        <w:tc>
          <w:tcPr>
            <w:tcW w:type="dxa" w:w="5112"/>
          </w:tcPr>
          <w:p>
            <w:r>
              <w:t>Hero recommendation card; centre name, distance, remaining capacity, expected wait, slot, reasons; alternatives below; choose button.</w:t>
            </w:r>
          </w:p>
        </w:tc>
      </w:tr>
      <w:tr>
        <w:tc>
          <w:tcPr>
            <w:tcW w:type="dxa" w:w="5112"/>
          </w:tcPr>
          <w:p>
            <w:r>
              <w:t>Confirmation</w:t>
            </w:r>
          </w:p>
        </w:tc>
        <w:tc>
          <w:tcPr>
            <w:tcW w:type="dxa" w:w="5112"/>
          </w:tcPr>
          <w:p>
            <w:r>
              <w:t>Booking number, centre, slot, expected quantity, cancellation/reschedule actions, notification confirmation.</w:t>
            </w:r>
          </w:p>
        </w:tc>
      </w:tr>
      <w:tr>
        <w:tc>
          <w:tcPr>
            <w:tcW w:type="dxa" w:w="5112"/>
          </w:tcPr>
          <w:p>
            <w:r>
              <w:t>Live Status</w:t>
            </w:r>
          </w:p>
        </w:tc>
        <w:tc>
          <w:tcPr>
            <w:tcW w:type="dxa" w:w="5112"/>
          </w:tcPr>
          <w:p>
            <w:r>
              <w:t>Queue position, current serving number/name as privacy-appropriate, expected wait, ETA, progress timeline.</w:t>
            </w:r>
          </w:p>
        </w:tc>
      </w:tr>
      <w:tr>
        <w:tc>
          <w:tcPr>
            <w:tcW w:type="dxa" w:w="5112"/>
          </w:tcPr>
          <w:p>
            <w:r>
              <w:t>Transaction</w:t>
            </w:r>
          </w:p>
        </w:tc>
        <w:tc>
          <w:tcPr>
            <w:tcW w:type="dxa" w:w="5112"/>
          </w:tcPr>
          <w:p>
            <w:r>
              <w:t>Expected quantity, actual quantity, quality result/reason, procurement status, payment status, timestamps, confirmation/dispute CTA.</w:t>
            </w:r>
          </w:p>
        </w:tc>
      </w:tr>
      <w:tr>
        <w:tc>
          <w:tcPr>
            <w:tcW w:type="dxa" w:w="5112"/>
          </w:tcPr>
          <w:p>
            <w:r>
              <w:t>Dispute</w:t>
            </w:r>
          </w:p>
        </w:tc>
        <w:tc>
          <w:tcPr>
            <w:tcW w:type="dxa" w:w="5112"/>
          </w:tcPr>
          <w:p>
            <w:r>
              <w:t>Discrepancy type, recorded quantity, farmer-reported quantity, reason, ticket ID, status timeline.</w:t>
            </w:r>
          </w:p>
        </w:tc>
      </w:tr>
      <w:tr>
        <w:tc>
          <w:tcPr>
            <w:tcW w:type="dxa" w:w="5112"/>
          </w:tcPr>
          <w:p>
            <w:r>
              <w:t>Notifications</w:t>
            </w:r>
          </w:p>
        </w:tc>
        <w:tc>
          <w:tcPr>
            <w:tcW w:type="dxa" w:w="5112"/>
          </w:tcPr>
          <w:p>
            <w:r>
              <w:t>Chronological cards for booking, ETA, procurement, payment and dispute events.</w:t>
            </w:r>
          </w:p>
        </w:tc>
      </w:tr>
    </w:tbl>
    <w:p>
      <w:pPr>
        <w:pStyle w:val="Heading1"/>
      </w:pPr>
      <w:r>
        <w:t>7. Staff dashboard layout</w:t>
      </w:r>
    </w:p>
    <w:p>
      <w:r>
        <w:t>Desktop-first, information density prioritized.</w:t>
      </w:r>
    </w:p>
    <w:p>
      <w:r>
        <w:rPr>
          <w:rFonts w:ascii="Consolas" w:hAnsi="Consolas"/>
          <w:sz w:val="16"/>
        </w:rPr>
        <w:t>HEADER: AnnaSetu | Centre name | Demo indicator | Staff</w:t>
        <w:br/>
        <w:br/>
        <w:t>KPI STRIP:</w:t>
        <w:br/>
        <w:t>Expected today | Remaining capacity | Waiting | Currently serving | Processed today | Avg processing</w:t>
        <w:br/>
        <w:br/>
        <w:t>MAIN:</w:t>
        <w:br/>
        <w:t>Current serving card     Queue table</w:t>
        <w:br/>
        <w:br/>
        <w:t>SIDE/LOWER:</w:t>
        <w:br/>
        <w:t>Capacity breakdown | Simulation controls | Alerts/activity</w:t>
        <w:br/>
        <w:br/>
        <w:t>DETAIL DRAWER/MODAL:</w:t>
        <w:br/>
        <w:t>Farmer + booking + actions</w:t>
      </w:r>
    </w:p>
    <w:p>
      <w:pPr>
        <w:pStyle w:val="Heading1"/>
      </w:pPr>
      <w:r>
        <w:t>8. Staff queue table</w:t>
      </w:r>
    </w:p>
    <w:tbl>
      <w:tblPr>
        <w:tblStyle w:val="TableGrid"/>
        <w:tblW w:type="auto" w:w="0"/>
        <w:tblLook w:firstColumn="1" w:firstRow="1" w:lastColumn="0" w:lastRow="0" w:noHBand="0" w:noVBand="1" w:val="04A0"/>
      </w:tblPr>
      <w:tblGrid>
        <w:gridCol w:w="5112"/>
        <w:gridCol w:w="5112"/>
      </w:tblGrid>
      <w:tr>
        <w:tc>
          <w:tcPr>
            <w:tcW w:type="dxa" w:w="5112"/>
          </w:tcPr>
          <w:p>
            <w:r>
              <w:t>Column</w:t>
            </w:r>
          </w:p>
        </w:tc>
        <w:tc>
          <w:tcPr>
            <w:tcW w:type="dxa" w:w="5112"/>
          </w:tcPr>
          <w:p>
            <w:r>
              <w:t>Behavior</w:t>
            </w:r>
          </w:p>
        </w:tc>
      </w:tr>
      <w:tr>
        <w:tc>
          <w:tcPr>
            <w:tcW w:type="dxa" w:w="5112"/>
          </w:tcPr>
          <w:p>
            <w:r>
              <w:t>Position</w:t>
            </w:r>
          </w:p>
        </w:tc>
        <w:tc>
          <w:tcPr>
            <w:tcW w:type="dxa" w:w="5112"/>
          </w:tcPr>
          <w:p>
            <w:r>
              <w:t>Computed; immutable by staff reorder.</w:t>
            </w:r>
          </w:p>
        </w:tc>
      </w:tr>
      <w:tr>
        <w:tc>
          <w:tcPr>
            <w:tcW w:type="dxa" w:w="5112"/>
          </w:tcPr>
          <w:p>
            <w:r>
              <w:t>Farmer</w:t>
            </w:r>
          </w:p>
        </w:tc>
        <w:tc>
          <w:tcPr>
            <w:tcW w:type="dxa" w:w="5112"/>
          </w:tcPr>
          <w:p>
            <w:r>
              <w:t>Name; use appropriate demo privacy.</w:t>
            </w:r>
          </w:p>
        </w:tc>
      </w:tr>
      <w:tr>
        <w:tc>
          <w:tcPr>
            <w:tcW w:type="dxa" w:w="5112"/>
          </w:tcPr>
          <w:p>
            <w:r>
              <w:t>Commodity</w:t>
            </w:r>
          </w:p>
        </w:tc>
        <w:tc>
          <w:tcPr>
            <w:tcW w:type="dxa" w:w="5112"/>
          </w:tcPr>
          <w:p>
            <w:r>
              <w:t>Commodity name.</w:t>
            </w:r>
          </w:p>
        </w:tc>
      </w:tr>
      <w:tr>
        <w:tc>
          <w:tcPr>
            <w:tcW w:type="dxa" w:w="5112"/>
          </w:tcPr>
          <w:p>
            <w:r>
              <w:t>Quantity</w:t>
            </w:r>
          </w:p>
        </w:tc>
        <w:tc>
          <w:tcPr>
            <w:tcW w:type="dxa" w:w="5112"/>
          </w:tcPr>
          <w:p>
            <w:r>
              <w:t>Expected quantity; actual after weighing.</w:t>
            </w:r>
          </w:p>
        </w:tc>
      </w:tr>
      <w:tr>
        <w:tc>
          <w:tcPr>
            <w:tcW w:type="dxa" w:w="5112"/>
          </w:tcPr>
          <w:p>
            <w:r>
              <w:t>Slot</w:t>
            </w:r>
          </w:p>
        </w:tc>
        <w:tc>
          <w:tcPr>
            <w:tcW w:type="dxa" w:w="5112"/>
          </w:tcPr>
          <w:p>
            <w:r>
              <w:t>30–45 minute appointment window.</w:t>
            </w:r>
          </w:p>
        </w:tc>
      </w:tr>
      <w:tr>
        <w:tc>
          <w:tcPr>
            <w:tcW w:type="dxa" w:w="5112"/>
          </w:tcPr>
          <w:p>
            <w:r>
              <w:t>Arrival</w:t>
            </w:r>
          </w:p>
        </w:tc>
        <w:tc>
          <w:tcPr>
            <w:tcW w:type="dxa" w:w="5112"/>
          </w:tcPr>
          <w:p>
            <w:r>
              <w:t>Booked / Arrived / No-show.</w:t>
            </w:r>
          </w:p>
        </w:tc>
      </w:tr>
      <w:tr>
        <w:tc>
          <w:tcPr>
            <w:tcW w:type="dxa" w:w="5112"/>
          </w:tcPr>
          <w:p>
            <w:r>
              <w:t>ETA</w:t>
            </w:r>
          </w:p>
        </w:tc>
        <w:tc>
          <w:tcPr>
            <w:tcW w:type="dxa" w:w="5112"/>
          </w:tcPr>
          <w:p>
            <w:r>
              <w:t>Dynamic estimate.</w:t>
            </w:r>
          </w:p>
        </w:tc>
      </w:tr>
      <w:tr>
        <w:tc>
          <w:tcPr>
            <w:tcW w:type="dxa" w:w="5112"/>
          </w:tcPr>
          <w:p>
            <w:r>
              <w:t>Action</w:t>
            </w:r>
          </w:p>
        </w:tc>
        <w:tc>
          <w:tcPr>
            <w:tcW w:type="dxa" w:w="5112"/>
          </w:tcPr>
          <w:p>
            <w:r>
              <w:t>Contextual next action.</w:t>
            </w:r>
          </w:p>
        </w:tc>
      </w:tr>
    </w:tbl>
    <w:p>
      <w:pPr>
        <w:pStyle w:val="Heading1"/>
      </w:pPr>
      <w:r>
        <w:t>9. Staff action flow</w:t>
      </w:r>
    </w:p>
    <w:p>
      <w:pPr>
        <w:pStyle w:val="ListNumber"/>
      </w:pPr>
      <w:r>
        <w:t>Open appointment/queue row.</w:t>
      </w:r>
    </w:p>
    <w:p>
      <w:pPr>
        <w:pStyle w:val="ListNumber"/>
      </w:pPr>
      <w:r>
        <w:t>Mark ARRIVED when physically present.</w:t>
      </w:r>
    </w:p>
    <w:p>
      <w:pPr>
        <w:pStyle w:val="ListNumber"/>
      </w:pPr>
      <w:r>
        <w:t>System recalculates queue/ETA.</w:t>
      </w:r>
    </w:p>
    <w:p>
      <w:pPr>
        <w:pStyle w:val="ListNumber"/>
      </w:pPr>
      <w:r>
        <w:t>When serving, open procurement workflow.</w:t>
      </w:r>
    </w:p>
    <w:p>
      <w:pPr>
        <w:pStyle w:val="ListNumber"/>
      </w:pPr>
      <w:r>
        <w:t>Enter actual weighed quantity.</w:t>
      </w:r>
    </w:p>
    <w:p>
      <w:pPr>
        <w:pStyle w:val="ListNumber"/>
      </w:pPr>
      <w:r>
        <w:t>Farmer confirmation/dispute becomes available.</w:t>
      </w:r>
    </w:p>
    <w:p>
      <w:pPr>
        <w:pStyle w:val="ListNumber"/>
      </w:pPr>
      <w:r>
        <w:t>Record quality PASS/FAIL + reason.</w:t>
      </w:r>
    </w:p>
    <w:p>
      <w:pPr>
        <w:pStyle w:val="ListNumber"/>
      </w:pPr>
      <w:r>
        <w:t>Complete procurement.</w:t>
      </w:r>
    </w:p>
    <w:p>
      <w:pPr>
        <w:pStyle w:val="ListNumber"/>
      </w:pPr>
      <w:r>
        <w:t>Payment remains external status.</w:t>
      </w:r>
    </w:p>
    <w:p>
      <w:pPr>
        <w:pStyle w:val="Heading1"/>
      </w:pPr>
      <w:r>
        <w:t>10. No-show interaction</w:t>
      </w:r>
    </w:p>
    <w:p>
      <w:r>
        <w:t>No-show action must show confirmation and a clear statement: 'This releases the booking's planned capacity for centre consideration; it does not automatically assign the slot.' After confirmation, status changes and audit entry is created. Farmer can later view/report a disputed no-show.</w:t>
      </w:r>
    </w:p>
    <w:p>
      <w:pPr>
        <w:pStyle w:val="Heading1"/>
      </w:pPr>
      <w:r>
        <w:t>11. Capacity UI</w:t>
      </w:r>
    </w:p>
    <w:p>
      <w:r>
        <w:rPr>
          <w:rFonts w:ascii="Consolas" w:hAnsi="Consolas"/>
          <w:sz w:val="16"/>
        </w:rPr>
        <w:t>Storage capacity: 500 t</w:t>
        <w:br/>
        <w:t>Occupied/committed: 320 t</w:t>
        <w:br/>
        <w:t>Remaining: 180 t</w:t>
        <w:br/>
        <w:br/>
        <w:t>Daily processing: 60 t</w:t>
        <w:br/>
        <w:t>Processed today: 35 t</w:t>
        <w:br/>
        <w:t>Remaining today: 25 t</w:t>
      </w:r>
    </w:p>
    <w:p>
      <w:r>
        <w:t>Use visual progress plus exact numbers. Never rely only on color.</w:t>
      </w:r>
    </w:p>
    <w:p>
      <w:pPr>
        <w:pStyle w:val="Heading1"/>
      </w:pPr>
      <w:r>
        <w:t>12. Simulation UI</w:t>
      </w:r>
    </w:p>
    <w:p>
      <w:pPr>
        <w:pStyle w:val="ListBullet"/>
      </w:pPr>
      <w:r>
        <w:t>Run simulation</w:t>
      </w:r>
    </w:p>
    <w:p>
      <w:pPr>
        <w:pStyle w:val="ListBullet"/>
      </w:pPr>
      <w:r>
        <w:t>Advance 10 minutes</w:t>
      </w:r>
    </w:p>
    <w:p>
      <w:pPr>
        <w:pStyle w:val="ListBullet"/>
      </w:pPr>
      <w:r>
        <w:t>Complete current farmer</w:t>
      </w:r>
    </w:p>
    <w:p>
      <w:pPr>
        <w:pStyle w:val="ListBullet"/>
      </w:pPr>
      <w:r>
        <w:t>Slow processing</w:t>
      </w:r>
    </w:p>
    <w:p>
      <w:pPr>
        <w:pStyle w:val="ListBullet"/>
      </w:pPr>
      <w:r>
        <w:t>Trigger ETA update</w:t>
      </w:r>
    </w:p>
    <w:p>
      <w:pPr>
        <w:pStyle w:val="ListBullet"/>
      </w:pPr>
      <w:r>
        <w:t>Mark seeded no-show</w:t>
      </w:r>
    </w:p>
    <w:p>
      <w:r>
        <w:t>Simulation must be clearly labeled DEMO MODE and should offer Reset Demo State.</w:t>
      </w:r>
    </w:p>
    <w:p>
      <w:pPr>
        <w:pStyle w:val="Heading1"/>
      </w:pPr>
      <w:r>
        <w:t>13. CSC UI</w:t>
      </w:r>
    </w:p>
    <w:p>
      <w:r>
        <w:t>A short workflow: Find/create demo farmer → verify displayed identity shell → enter commodity/quantity/date/time → see recommendation → confirm booking → show confirmation. Do not expose centre queue controls.</w:t>
      </w:r>
    </w:p>
    <w:p>
      <w:pPr>
        <w:pStyle w:val="Heading1"/>
      </w:pPr>
      <w:r>
        <w:t>14. Admin UI</w:t>
      </w:r>
    </w:p>
    <w:p>
      <w:pPr>
        <w:pStyle w:val="ListBullet"/>
      </w:pPr>
      <w:r>
        <w:t>System overview</w:t>
      </w:r>
    </w:p>
    <w:p>
      <w:pPr>
        <w:pStyle w:val="ListBullet"/>
      </w:pPr>
      <w:r>
        <w:t>Centre cards/table</w:t>
      </w:r>
    </w:p>
    <w:p>
      <w:pPr>
        <w:pStyle w:val="ListBullet"/>
      </w:pPr>
      <w:r>
        <w:t>Create/edit centre</w:t>
      </w:r>
    </w:p>
    <w:p>
      <w:pPr>
        <w:pStyle w:val="ListBullet"/>
      </w:pPr>
      <w:r>
        <w:t>Capacity configuration</w:t>
      </w:r>
    </w:p>
    <w:p>
      <w:pPr>
        <w:pStyle w:val="ListBullet"/>
      </w:pPr>
      <w:r>
        <w:t>Commodity assignment</w:t>
      </w:r>
    </w:p>
    <w:p>
      <w:pPr>
        <w:pStyle w:val="ListBullet"/>
      </w:pPr>
      <w:r>
        <w:t>Staff assignment</w:t>
      </w:r>
    </w:p>
    <w:p>
      <w:pPr>
        <w:pStyle w:val="ListBullet"/>
      </w:pPr>
      <w:r>
        <w:t>Analytics</w:t>
      </w:r>
    </w:p>
    <w:p>
      <w:pPr>
        <w:pStyle w:val="ListBullet"/>
      </w:pPr>
      <w:r>
        <w:t>Audit log explorer</w:t>
      </w:r>
    </w:p>
    <w:p>
      <w:pPr>
        <w:pStyle w:val="ListBullet"/>
      </w:pPr>
      <w:r>
        <w:t>Payment-status demo update</w:t>
      </w:r>
    </w:p>
    <w:p>
      <w:pPr>
        <w:pStyle w:val="Heading1"/>
      </w:pPr>
      <w:r>
        <w:t>15. Components</w:t>
      </w:r>
    </w:p>
    <w:p>
      <w:pPr>
        <w:pStyle w:val="ListBullet"/>
      </w:pPr>
      <w:r>
        <w:t>AppShell</w:t>
      </w:r>
    </w:p>
    <w:p>
      <w:pPr>
        <w:pStyle w:val="ListBullet"/>
      </w:pPr>
      <w:r>
        <w:t>RoleSwitcher</w:t>
      </w:r>
    </w:p>
    <w:p>
      <w:pPr>
        <w:pStyle w:val="ListBullet"/>
      </w:pPr>
      <w:r>
        <w:t>StatusBadge</w:t>
      </w:r>
    </w:p>
    <w:p>
      <w:pPr>
        <w:pStyle w:val="ListBullet"/>
      </w:pPr>
      <w:r>
        <w:t>MetricCard</w:t>
      </w:r>
    </w:p>
    <w:p>
      <w:pPr>
        <w:pStyle w:val="ListBullet"/>
      </w:pPr>
      <w:r>
        <w:t>CapacityMeter</w:t>
      </w:r>
    </w:p>
    <w:p>
      <w:pPr>
        <w:pStyle w:val="ListBullet"/>
      </w:pPr>
      <w:r>
        <w:t>QueueTable</w:t>
      </w:r>
    </w:p>
    <w:p>
      <w:pPr>
        <w:pStyle w:val="ListBullet"/>
      </w:pPr>
      <w:r>
        <w:t>QueuePosition</w:t>
      </w:r>
    </w:p>
    <w:p>
      <w:pPr>
        <w:pStyle w:val="ListBullet"/>
      </w:pPr>
      <w:r>
        <w:t>RecommendationCard</w:t>
      </w:r>
    </w:p>
    <w:p>
      <w:pPr>
        <w:pStyle w:val="ListBullet"/>
      </w:pPr>
      <w:r>
        <w:t>AlternativeSlotCard</w:t>
      </w:r>
    </w:p>
    <w:p>
      <w:pPr>
        <w:pStyle w:val="ListBullet"/>
      </w:pPr>
      <w:r>
        <w:t>Timeline</w:t>
      </w:r>
    </w:p>
    <w:p>
      <w:pPr>
        <w:pStyle w:val="ListBullet"/>
      </w:pPr>
      <w:r>
        <w:t>QuantityComparison</w:t>
      </w:r>
    </w:p>
    <w:p>
      <w:pPr>
        <w:pStyle w:val="ListBullet"/>
      </w:pPr>
      <w:r>
        <w:t>DisputeCard</w:t>
      </w:r>
    </w:p>
    <w:p>
      <w:pPr>
        <w:pStyle w:val="ListBullet"/>
      </w:pPr>
      <w:r>
        <w:t>NotificationCard</w:t>
      </w:r>
    </w:p>
    <w:p>
      <w:pPr>
        <w:pStyle w:val="ListBullet"/>
      </w:pPr>
      <w:r>
        <w:t>ConfirmationDialog</w:t>
      </w:r>
    </w:p>
    <w:p>
      <w:pPr>
        <w:pStyle w:val="ListBullet"/>
      </w:pPr>
      <w:r>
        <w:t>SimulationPanel</w:t>
      </w:r>
    </w:p>
    <w:p>
      <w:pPr>
        <w:pStyle w:val="ListBullet"/>
      </w:pPr>
      <w:r>
        <w:t>AuditTable</w:t>
      </w:r>
    </w:p>
    <w:p>
      <w:pPr>
        <w:pStyle w:val="ListBullet"/>
      </w:pPr>
      <w:r>
        <w:t>DataTable</w:t>
      </w:r>
    </w:p>
    <w:p>
      <w:pPr>
        <w:pStyle w:val="ListBullet"/>
      </w:pPr>
      <w:r>
        <w:t>ResponsiveDrawer</w:t>
      </w:r>
    </w:p>
    <w:p>
      <w:pPr>
        <w:pStyle w:val="Heading1"/>
      </w:pPr>
      <w:r>
        <w:t>16. Accessibility</w:t>
      </w:r>
    </w:p>
    <w:p>
      <w:pPr>
        <w:pStyle w:val="ListBullet"/>
      </w:pPr>
      <w:r>
        <w:t>Keyboard navigation</w:t>
      </w:r>
    </w:p>
    <w:p>
      <w:pPr>
        <w:pStyle w:val="ListBullet"/>
      </w:pPr>
      <w:r>
        <w:t>Visible focus</w:t>
      </w:r>
    </w:p>
    <w:p>
      <w:pPr>
        <w:pStyle w:val="ListBullet"/>
      </w:pPr>
      <w:r>
        <w:t>Semantic forms</w:t>
      </w:r>
    </w:p>
    <w:p>
      <w:pPr>
        <w:pStyle w:val="ListBullet"/>
      </w:pPr>
      <w:r>
        <w:t>Text + icon + color for statuses</w:t>
      </w:r>
    </w:p>
    <w:p>
      <w:pPr>
        <w:pStyle w:val="ListBullet"/>
      </w:pPr>
      <w:r>
        <w:t>Readable numbers</w:t>
      </w:r>
    </w:p>
    <w:p>
      <w:pPr>
        <w:pStyle w:val="ListBullet"/>
      </w:pPr>
      <w:r>
        <w:t>Touch targets at least ~44px</w:t>
      </w:r>
    </w:p>
    <w:p>
      <w:pPr>
        <w:pStyle w:val="ListBullet"/>
      </w:pPr>
      <w:r>
        <w:t>Accessible error messages</w:t>
      </w:r>
    </w:p>
    <w:p>
      <w:pPr>
        <w:pStyle w:val="ListBullet"/>
      </w:pPr>
      <w:r>
        <w:t>No hover-only critical information</w:t>
      </w:r>
    </w:p>
    <w:p>
      <w:pPr>
        <w:pStyle w:val="Heading1"/>
      </w:pPr>
      <w:r>
        <w:t>17. Responsive rules</w:t>
      </w:r>
    </w:p>
    <w:p>
      <w:pPr>
        <w:pStyle w:val="ListBullet"/>
      </w:pPr>
      <w:r>
        <w:t>Farmer: mobile-first 360px minimum.</w:t>
      </w:r>
    </w:p>
    <w:p>
      <w:pPr>
        <w:pStyle w:val="ListBullet"/>
      </w:pPr>
      <w:r>
        <w:t>Staff/admin: 1280px primary, tablet fallback.</w:t>
      </w:r>
    </w:p>
    <w:p>
      <w:pPr>
        <w:pStyle w:val="ListBullet"/>
      </w:pPr>
      <w:r>
        <w:t>Convert wide tables to stacked cards on narrow screens.</w:t>
      </w:r>
    </w:p>
    <w:p>
      <w:pPr>
        <w:pStyle w:val="ListBullet"/>
      </w:pPr>
      <w:r>
        <w:t>Keep primary CTA visible without excessive scrolling.</w:t>
      </w:r>
    </w:p>
    <w:p>
      <w:pPr>
        <w:pStyle w:val="ListBullet"/>
      </w:pPr>
      <w:r>
        <w:t>Do not make operational actions dependent on hover.</w:t>
      </w:r>
    </w:p>
    <w:p>
      <w:pPr>
        <w:pStyle w:val="Heading1"/>
      </w:pPr>
      <w:r>
        <w:t>18. Motion</w:t>
      </w:r>
    </w:p>
    <w:p>
      <w:r>
        <w:t>Use subtle transitions for status changes, recommendation selection and queue updates. Avoid animated dashboards that distract during a judge presentation.</w:t>
      </w:r>
    </w:p>
    <w:p>
      <w:pPr>
        <w:pStyle w:val="Heading1"/>
      </w:pPr>
      <w:r>
        <w:t>19. Empty/loading/error states</w:t>
      </w:r>
    </w:p>
    <w:p>
      <w:pPr>
        <w:pStyle w:val="ListBullet"/>
      </w:pPr>
      <w:r>
        <w:t>Loading skeleton for queue/dashboard.</w:t>
      </w:r>
    </w:p>
    <w:p>
      <w:pPr>
        <w:pStyle w:val="ListBullet"/>
      </w:pPr>
      <w:r>
        <w:t>Empty queue: 'No farmers waiting right now.'</w:t>
      </w:r>
    </w:p>
    <w:p>
      <w:pPr>
        <w:pStyle w:val="ListBullet"/>
      </w:pPr>
      <w:r>
        <w:t>Capacity unavailable: explain why and show alternatives.</w:t>
      </w:r>
    </w:p>
    <w:p>
      <w:pPr>
        <w:pStyle w:val="ListBullet"/>
      </w:pPr>
      <w:r>
        <w:t>Recommendation failure: allow manual centre/slot selection if available.</w:t>
      </w:r>
    </w:p>
    <w:p>
      <w:pPr>
        <w:pStyle w:val="ListBullet"/>
      </w:pPr>
      <w:r>
        <w:t>Mutation error: preserve entered form data.</w:t>
      </w:r>
    </w:p>
    <w:p>
      <w:pPr>
        <w:pStyle w:val="ListBullet"/>
      </w:pPr>
      <w:r>
        <w:t>Notification failure: show in-app event state separately from SMS provider state.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