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F172A"/>
          <w:sz w:val="56"/>
          <w:szCs w:val="56"/>
        </w:rPr>
        <w:t xml:space="preserve">Marlin Growth Agent</w:t>
      </w:r>
    </w:p>
    <w:p>
      <w:pPr>
        <w:spacing w:after="60"/>
      </w:pPr>
      <w:r>
        <w:rPr>
          <w:color w:val="6B7280"/>
          <w:sz w:val="32"/>
          <w:szCs w:val="32"/>
        </w:rPr>
        <w:t xml:space="preserve">Site Design Specification</w:t>
      </w:r>
    </w:p>
    <w:p>
      <w:pPr>
        <w:spacing w:after="400"/>
      </w:pPr>
      <w:r>
        <w:rPr>
          <w:i/>
          <w:iCs/>
          <w:color w:val="6B7280"/>
          <w:sz w:val="22"/>
          <w:szCs w:val="22"/>
        </w:rPr>
        <w:t xml:space="preserve">AI Growth &amp; Agentic Commerce — Razorpay Hackathon Track</w:t>
      </w:r>
    </w:p>
    <w:p>
      <w:pPr>
        <w:pBdr>
          <w:bottom w:val="single" w:color="0F172A" w:sz="6" w:space="1"/>
        </w:pBdr>
        <w:spacing w:after="400"/>
      </w:pPr>
    </w:p>
    <w:p>
      <w:pPr>
        <w:pStyle w:val="Heading1"/>
        <w:spacing w:after="200" w:before="400"/>
      </w:pPr>
      <w:r>
        <w:t xml:space="preserve">1. Design Philosophy</w:t>
      </w:r>
    </w:p>
    <w:p>
      <w:pPr>
        <w:spacing w:after="160"/>
      </w:pPr>
      <w:r>
        <w:t xml:space="preserve">This product's core engineering claim is that an AI agent can be trusted with real payments because every action it takes is explainable, bounded, and gated. The design's job is to make that claim visible, not just true in the backend. A visitor should be able to look at any screen and understand, without reading documentation, what the AI suggested, what a separate rules engine did to that suggestion, and what actually happened with money.</w:t>
      </w:r>
    </w:p>
    <w:p>
      <w:pPr>
        <w:spacing w:after="160"/>
      </w:pPr>
      <w:r>
        <w:t xml:space="preserve">The guiding metaphor is a financial control room, not a consumer AI app. The interface should feel closer to a trading terminal or a compliance dashboard than to a chatbot. Where consumer AI products lean on gradients, glow, and playful motion, this product should lean on density, structure, borders, and a restrained, consistent color vocabulary.</w:t>
      </w:r>
    </w:p>
    <w:p>
      <w:pPr>
        <w:pStyle w:val="Heading3"/>
        <w:spacing w:after="100" w:before="200"/>
      </w:pPr>
      <w:r>
        <w:t xml:space="preserve">Three things every screen should make instantly distinguishable</w:t>
      </w:r>
    </w:p>
    <w:p>
      <w:pPr>
        <w:pStyle w:val="ListParagraph"/>
        <w:numPr>
          <w:ilvl w:val="0"/>
          <w:numId w:val="2"/>
        </w:numPr>
        <w:spacing w:after="80"/>
      </w:pPr>
      <w:r>
        <w:t xml:space="preserve">What the AI (“the Brain”) proposed — creative, allowed to be wrong.</w:t>
      </w:r>
    </w:p>
    <w:p>
      <w:pPr>
        <w:pStyle w:val="ListParagraph"/>
        <w:numPr>
          <w:ilvl w:val="0"/>
          <w:numId w:val="2"/>
        </w:numPr>
        <w:spacing w:after="80"/>
      </w:pPr>
      <w:r>
        <w:t xml:space="preserve">What the deterministic policy engine (“the Cage”) did to that proposal — approved, clamped, or rejected.</w:t>
      </w:r>
    </w:p>
    <w:p>
      <w:pPr>
        <w:pStyle w:val="ListParagraph"/>
        <w:numPr>
          <w:ilvl w:val="0"/>
          <w:numId w:val="2"/>
        </w:numPr>
        <w:spacing w:after="80"/>
      </w:pPr>
      <w:r>
        <w:t xml:space="preserve">What actually happened with money (“the Ledger”) — order id, payment status, timestamp.</w:t>
      </w:r>
    </w:p>
    <w:p>
      <w:pPr>
        <w:pStyle w:val="Heading1"/>
        <w:spacing w:after="200" w:before="400"/>
      </w:pPr>
      <w:r>
        <w:t xml:space="preserve">2. Design System</w:t>
      </w:r>
    </w:p>
    <w:p>
      <w:pPr>
        <w:pStyle w:val="Heading2"/>
        <w:spacing w:after="150" w:before="300"/>
      </w:pPr>
      <w:r>
        <w:t xml:space="preserve">2.1 Two visual registers</w:t>
      </w:r>
    </w:p>
    <w:p>
      <w:pPr>
        <w:spacing w:after="160"/>
      </w:pPr>
      <w:r>
        <w:t xml:space="preserve">The product has two audiences and should read as two related but distinct surfaces:</w:t>
      </w:r>
    </w:p>
    <w:p>
      <w:pPr>
        <w:pStyle w:val="ListParagraph"/>
        <w:numPr>
          <w:ilvl w:val="0"/>
          <w:numId w:val="2"/>
        </w:numPr>
        <w:spacing w:after="80"/>
      </w:pPr>
      <w:r>
        <w:t xml:space="preserve">Storefront (shopper-facing): light, minimal, generous whitespace, off-white background. Ordinary e-commerce polish — the AI should feel like a helpful nudge, not the main character.</w:t>
      </w:r>
    </w:p>
    <w:p>
      <w:pPr>
        <w:pStyle w:val="ListParagraph"/>
        <w:numPr>
          <w:ilvl w:val="0"/>
          <w:numId w:val="2"/>
        </w:numPr>
        <w:spacing w:after="80"/>
      </w:pPr>
      <w:r>
        <w:t xml:space="preserve">Dashboard (merchant/ops-facing): dark navy/charcoal surface, information-dense, monospaced data. This is where the “control room” feeling lives.</w:t>
      </w:r>
    </w:p>
    <w:p>
      <w:pPr>
        <w:pStyle w:val="Heading2"/>
        <w:spacing w:after="150" w:before="300"/>
      </w:pPr>
      <w:r>
        <w:t xml:space="preserve">2.2 Color system — state, not decoration</w:t>
      </w:r>
    </w:p>
    <w:p>
      <w:pPr>
        <w:spacing w:after="160"/>
      </w:pPr>
      <w:r>
        <w:t xml:space="preserve">Four accent colors are reserved for system state and used identically across every screen, so state can be read by color alone before a single word is read.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200"/>
      </w:tblGrid>
      <w:tr>
        <w:trPr>
          <w:tblHeader/>
        </w:trPr>
        <w:tc>
          <w:tcPr>
            <w:tcW w:type="dxa" w:w="1200"/>
            <w:shd w:fill="0F172A" w:val="clear"/>
          </w:tcPr>
          <w:p>
            <w:r>
              <w:rPr>
                <w:b/>
                <w:bCs/>
                <w:color w:val="FFFFFF"/>
              </w:rPr>
              <w:t xml:space="preserve">Swatch</w:t>
            </w:r>
          </w:p>
        </w:tc>
        <w:tc>
          <w:tcPr>
            <w:tcW w:type="dxa" w:w="2200"/>
            <w:shd w:fill="0F172A" w:val="clear"/>
          </w:tcPr>
          <w:p>
            <w:r>
              <w:rPr>
                <w:b/>
                <w:bCs/>
                <w:color w:val="FFFFFF"/>
              </w:rPr>
              <w:t xml:space="preserve">Name</w:t>
            </w:r>
          </w:p>
        </w:tc>
        <w:tc>
          <w:tcPr>
            <w:tcW w:type="dxa" w:w="1800"/>
            <w:shd w:fill="0F172A" w:val="clear"/>
          </w:tcPr>
          <w:p>
            <w:r>
              <w:rPr>
                <w:b/>
                <w:bCs/>
                <w:color w:val="FFFFFF"/>
              </w:rPr>
              <w:t xml:space="preserve">Hex</w:t>
            </w:r>
          </w:p>
        </w:tc>
        <w:tc>
          <w:tcPr>
            <w:tcW w:type="dxa" w:w="4200"/>
            <w:shd w:fill="0F172A" w:val="clear"/>
          </w:tcPr>
          <w:p>
            <w:r>
              <w:rPr>
                <w:b/>
                <w:bCs/>
                <w:color w:val="FFFFFF"/>
              </w:rPr>
              <w:t xml:space="preserve">Usage</w:t>
            </w:r>
          </w:p>
        </w:tc>
      </w:tr>
      <w:tr>
        <w:tc>
          <w:tcPr>
            <w:tcW w:type="dxa" w:w="1200"/>
            <w:shd w:fill="3B82F6" w:val="clear"/>
            <w:vAlign w:val="center"/>
          </w:tcPr>
          <w:p/>
        </w:tc>
        <w:tc>
          <w:tcPr>
            <w:tcW w:type="dxa" w:w="2200"/>
            <w:vAlign w:val="center"/>
          </w:tcPr>
          <w:p>
            <w:r>
              <w:rPr>
                <w:b/>
                <w:bCs/>
              </w:rPr>
              <w:t xml:space="preserve">AI Proposed</w:t>
            </w:r>
          </w:p>
        </w:tc>
        <w:tc>
          <w:tcPr>
            <w:tcW w:type="dxa" w:w="1800"/>
            <w:vAlign w:val="center"/>
          </w:tcPr>
          <w:p>
            <w:r>
              <w:rPr>
                <w:rFonts w:ascii="Consolas" w:cs="Consolas" w:eastAsia="Consolas" w:hAnsi="Consolas"/>
              </w:rPr>
              <w:t xml:space="preserve">#3B82F6</w:t>
            </w:r>
          </w:p>
        </w:tc>
        <w:tc>
          <w:tcPr>
            <w:tcW w:type="dxa" w:w="4200"/>
            <w:vAlign w:val="center"/>
          </w:tcPr>
          <w:p>
            <w:r>
              <w:t xml:space="preserve">Any content that originated from the LLM: raw proposals, reasoning text, suggestion badges.</w:t>
            </w:r>
          </w:p>
        </w:tc>
      </w:tr>
      <w:tr>
        <w:tc>
          <w:tcPr>
            <w:tcW w:type="dxa" w:w="1200"/>
            <w:shd w:fill="F59E0B" w:val="clear"/>
            <w:vAlign w:val="center"/>
          </w:tcPr>
          <w:p/>
        </w:tc>
        <w:tc>
          <w:tcPr>
            <w:tcW w:type="dxa" w:w="2200"/>
            <w:vAlign w:val="center"/>
          </w:tcPr>
          <w:p>
            <w:r>
              <w:rPr>
                <w:b/>
                <w:bCs/>
              </w:rPr>
              <w:t xml:space="preserve">Clamped / Pending</w:t>
            </w:r>
          </w:p>
        </w:tc>
        <w:tc>
          <w:tcPr>
            <w:tcW w:type="dxa" w:w="1800"/>
            <w:vAlign w:val="center"/>
          </w:tcPr>
          <w:p>
            <w:r>
              <w:rPr>
                <w:rFonts w:ascii="Consolas" w:cs="Consolas" w:eastAsia="Consolas" w:hAnsi="Consolas"/>
              </w:rPr>
              <w:t xml:space="preserve">#F59E0B</w:t>
            </w:r>
          </w:p>
        </w:tc>
        <w:tc>
          <w:tcPr>
            <w:tcW w:type="dxa" w:w="4200"/>
            <w:vAlign w:val="center"/>
          </w:tcPr>
          <w:p>
            <w:r>
              <w:t xml:space="preserve">Policy engine reduced or altered a value; or an entry awaiting human approval.</w:t>
            </w:r>
          </w:p>
        </w:tc>
      </w:tr>
      <w:tr>
        <w:tc>
          <w:tcPr>
            <w:tcW w:type="dxa" w:w="1200"/>
            <w:shd w:fill="10B981" w:val="clear"/>
            <w:vAlign w:val="center"/>
          </w:tcPr>
          <w:p/>
        </w:tc>
        <w:tc>
          <w:tcPr>
            <w:tcW w:type="dxa" w:w="2200"/>
            <w:vAlign w:val="center"/>
          </w:tcPr>
          <w:p>
            <w:r>
              <w:rPr>
                <w:b/>
                <w:bCs/>
              </w:rPr>
              <w:t xml:space="preserve">Approved / Complete</w:t>
            </w:r>
          </w:p>
        </w:tc>
        <w:tc>
          <w:tcPr>
            <w:tcW w:type="dxa" w:w="1800"/>
            <w:vAlign w:val="center"/>
          </w:tcPr>
          <w:p>
            <w:r>
              <w:rPr>
                <w:rFonts w:ascii="Consolas" w:cs="Consolas" w:eastAsia="Consolas" w:hAnsi="Consolas"/>
              </w:rPr>
              <w:t xml:space="preserve">#10B981</w:t>
            </w:r>
          </w:p>
        </w:tc>
        <w:tc>
          <w:tcPr>
            <w:tcW w:type="dxa" w:w="4200"/>
            <w:vAlign w:val="center"/>
          </w:tcPr>
          <w:p>
            <w:r>
              <w:t xml:space="preserve">Action passed policy cleanly, or an order/payment completed successfully.</w:t>
            </w:r>
          </w:p>
        </w:tc>
      </w:tr>
      <w:tr>
        <w:tc>
          <w:tcPr>
            <w:tcW w:type="dxa" w:w="1200"/>
            <w:shd w:fill="EF4444" w:val="clear"/>
            <w:vAlign w:val="center"/>
          </w:tcPr>
          <w:p/>
        </w:tc>
        <w:tc>
          <w:tcPr>
            <w:tcW w:type="dxa" w:w="2200"/>
            <w:vAlign w:val="center"/>
          </w:tcPr>
          <w:p>
            <w:r>
              <w:rPr>
                <w:b/>
                <w:bCs/>
              </w:rPr>
              <w:t xml:space="preserve">Rejected / Failed</w:t>
            </w:r>
          </w:p>
        </w:tc>
        <w:tc>
          <w:tcPr>
            <w:tcW w:type="dxa" w:w="1800"/>
            <w:vAlign w:val="center"/>
          </w:tcPr>
          <w:p>
            <w:r>
              <w:rPr>
                <w:rFonts w:ascii="Consolas" w:cs="Consolas" w:eastAsia="Consolas" w:hAnsi="Consolas"/>
              </w:rPr>
              <w:t xml:space="preserve">#EF4444</w:t>
            </w:r>
          </w:p>
        </w:tc>
        <w:tc>
          <w:tcPr>
            <w:tcW w:type="dxa" w:w="4200"/>
            <w:vAlign w:val="center"/>
          </w:tcPr>
          <w:p>
            <w:r>
              <w:t xml:space="preserve">Proposal rejected outright, or a payment failed.</w:t>
            </w:r>
          </w:p>
        </w:tc>
      </w:tr>
      <w:tr>
        <w:tc>
          <w:tcPr>
            <w:tcW w:type="dxa" w:w="1200"/>
            <w:shd w:fill="0F172A" w:val="clear"/>
            <w:vAlign w:val="center"/>
          </w:tcPr>
          <w:p/>
        </w:tc>
        <w:tc>
          <w:tcPr>
            <w:tcW w:type="dxa" w:w="2200"/>
            <w:vAlign w:val="center"/>
          </w:tcPr>
          <w:p>
            <w:r>
              <w:rPr>
                <w:b/>
                <w:bCs/>
              </w:rPr>
              <w:t xml:space="preserve">Base Dark Surface</w:t>
            </w:r>
          </w:p>
        </w:tc>
        <w:tc>
          <w:tcPr>
            <w:tcW w:type="dxa" w:w="1800"/>
            <w:vAlign w:val="center"/>
          </w:tcPr>
          <w:p>
            <w:r>
              <w:rPr>
                <w:rFonts w:ascii="Consolas" w:cs="Consolas" w:eastAsia="Consolas" w:hAnsi="Consolas"/>
              </w:rPr>
              <w:t xml:space="preserve">#0F172A</w:t>
            </w:r>
          </w:p>
        </w:tc>
        <w:tc>
          <w:tcPr>
            <w:tcW w:type="dxa" w:w="4200"/>
            <w:vAlign w:val="center"/>
          </w:tcPr>
          <w:p>
            <w:r>
              <w:t xml:space="preserve">Primary background for the dashboard / ledger views.</w:t>
            </w:r>
          </w:p>
        </w:tc>
      </w:tr>
      <w:tr>
        <w:tc>
          <w:tcPr>
            <w:tcW w:type="dxa" w:w="1200"/>
            <w:shd w:fill="FAFAFA" w:val="clear"/>
            <w:vAlign w:val="center"/>
          </w:tcPr>
          <w:p/>
        </w:tc>
        <w:tc>
          <w:tcPr>
            <w:tcW w:type="dxa" w:w="2200"/>
            <w:vAlign w:val="center"/>
          </w:tcPr>
          <w:p>
            <w:r>
              <w:rPr>
                <w:b/>
                <w:bCs/>
              </w:rPr>
              <w:t xml:space="preserve">Base Light Surface</w:t>
            </w:r>
          </w:p>
        </w:tc>
        <w:tc>
          <w:tcPr>
            <w:tcW w:type="dxa" w:w="1800"/>
            <w:vAlign w:val="center"/>
          </w:tcPr>
          <w:p>
            <w:r>
              <w:rPr>
                <w:rFonts w:ascii="Consolas" w:cs="Consolas" w:eastAsia="Consolas" w:hAnsi="Consolas"/>
              </w:rPr>
              <w:t xml:space="preserve">#FAFAFA</w:t>
            </w:r>
          </w:p>
        </w:tc>
        <w:tc>
          <w:tcPr>
            <w:tcW w:type="dxa" w:w="4200"/>
            <w:vAlign w:val="center"/>
          </w:tcPr>
          <w:p>
            <w:r>
              <w:t xml:space="preserve">Primary background for the storefront.</w:t>
            </w:r>
          </w:p>
        </w:tc>
      </w:tr>
    </w:tbl>
    <w:p>
      <w:pPr>
        <w:spacing w:after="200"/>
      </w:pPr>
    </w:p>
    <w:p>
      <w:pPr>
        <w:spacing w:after="160"/>
      </w:pPr>
      <w:r>
        <w:rPr>
          <w:i/>
          <w:iCs/>
          <w:color w:val="6B7280"/>
        </w:rPr>
        <w:t xml:space="preserve">Rule of thumb: if a color is used anywhere other than these six roles, it's decoration and should be removed. Consistency across screens is more valuable than variety on any single screen.</w:t>
      </w:r>
    </w:p>
    <w:p>
      <w:pPr>
        <w:pStyle w:val="Heading2"/>
        <w:spacing w:after="150" w:before="300"/>
      </w:pPr>
      <w:r>
        <w:t xml:space="preserve">2.3 Typography</w:t>
      </w:r>
    </w:p>
    <w:p>
      <w:pPr>
        <w:pStyle w:val="ListParagraph"/>
        <w:numPr>
          <w:ilvl w:val="0"/>
          <w:numId w:val="2"/>
        </w:numPr>
        <w:spacing w:after="80"/>
      </w:pPr>
      <w:r>
        <w:t xml:space="preserve">Headings and body copy: a clean grotesk sans (Inter or similar system equivalent).</w:t>
      </w:r>
    </w:p>
    <w:p>
      <w:pPr>
        <w:pStyle w:val="ListParagraph"/>
        <w:numPr>
          <w:ilvl w:val="0"/>
          <w:numId w:val="2"/>
        </w:numPr>
        <w:spacing w:after="80"/>
      </w:pPr>
      <w:r>
        <w:t xml:space="preserve">IDs, amounts, timestamps, JSON-like or code-like data: a monospace font (JetBrains Mono / IBM Plex Mono) — this reinforces the audit-log feel and should be used consistently, everywhere, for this category of content.</w:t>
      </w:r>
    </w:p>
    <w:p>
      <w:pPr>
        <w:pStyle w:val="ListParagraph"/>
        <w:numPr>
          <w:ilvl w:val="0"/>
          <w:numId w:val="2"/>
        </w:numPr>
        <w:spacing w:after="80"/>
      </w:pPr>
      <w:r>
        <w:t xml:space="preserve">Reasoning text from the AI should be set in italic to visually mark it as “the agent's own words” rather than system copy.</w:t>
      </w:r>
    </w:p>
    <w:p>
      <w:pPr>
        <w:pStyle w:val="Heading2"/>
        <w:spacing w:after="150" w:before="300"/>
      </w:pPr>
      <w:r>
        <w:t xml:space="preserve">2.4 Iconography</w:t>
      </w:r>
    </w:p>
    <w:p>
      <w:pPr>
        <w:spacing w:after="160"/>
      </w:pPr>
      <w:r>
        <w:t xml:space="preserve">A small spark / AI icon is used only next to content that came directly from the LLM (proposals, reasoning). It never appears next to policy or outcome data. Over repeated exposure this trains the eye to separate “the AI's opinion” from “the system's decision” without needing to read labels.</w:t>
      </w:r>
    </w:p>
    <w:p>
      <w:pPr>
        <w:pStyle w:val="Heading2"/>
        <w:spacing w:after="150" w:before="300"/>
      </w:pPr>
      <w:r>
        <w:t xml:space="preserve">2.5 Surface and shape language</w:t>
      </w:r>
    </w:p>
    <w:p>
      <w:pPr>
        <w:pStyle w:val="ListParagraph"/>
        <w:numPr>
          <w:ilvl w:val="0"/>
          <w:numId w:val="2"/>
        </w:numPr>
        <w:spacing w:after="80"/>
      </w:pPr>
      <w:r>
        <w:t xml:space="preserve">Rounded corners: 8–12px on cards.</w:t>
      </w:r>
    </w:p>
    <w:p>
      <w:pPr>
        <w:pStyle w:val="ListParagraph"/>
        <w:numPr>
          <w:ilvl w:val="0"/>
          <w:numId w:val="2"/>
        </w:numPr>
        <w:spacing w:after="80"/>
      </w:pPr>
      <w:r>
        <w:t xml:space="preserve">Borders: 1px, low-contrast gray, preferred over heavy drop shadows.</w:t>
      </w:r>
    </w:p>
    <w:p>
      <w:pPr>
        <w:pStyle w:val="ListParagraph"/>
        <w:numPr>
          <w:ilvl w:val="0"/>
          <w:numId w:val="2"/>
        </w:numPr>
        <w:spacing w:after="80"/>
      </w:pPr>
      <w:r>
        <w:t xml:space="preserve">Shadows: soft and minimal, used sparingly for elevation (e.g. modals), not as a default card treatment.</w:t>
      </w:r>
    </w:p>
    <w:p>
      <w:pPr>
        <w:pStyle w:val="ListParagraph"/>
        <w:numPr>
          <w:ilvl w:val="0"/>
          <w:numId w:val="2"/>
        </w:numPr>
        <w:spacing w:after="80"/>
      </w:pPr>
      <w:r>
        <w:t xml:space="preserve">Density: generous spacing on the storefront; tight, data-dense spacing on the dashboard.</w:t>
      </w:r>
    </w:p>
    <w:p>
      <w:pPr>
        <w:pStyle w:val="Heading1"/>
        <w:spacing w:after="200" w:before="400"/>
      </w:pPr>
      <w:r>
        <w:t xml:space="preserve">3. The Four-State Visual Language</w:t>
      </w:r>
    </w:p>
    <w:p>
      <w:pPr>
        <w:spacing w:after="160"/>
      </w:pPr>
      <w:r>
        <w:t xml:space="preserve">Because “bounded and gated” is the product's central claim, every place in the interface where an AI proposal could be altered should use this same four-card pattern. Below is the reference version — reuse this exact shape wherever a proposal's lifecycle is shown.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2350"/>
            <w:tcBorders>
              <w:top w:val="single" w:color="3B82F6" w:sz="4"/>
              <w:left w:val="single" w:color="3B82F6" w:sz="4"/>
              <w:bottom w:val="single" w:color="3B82F6" w:sz="4"/>
              <w:right w:val="single" w:color="3B82F6" w:sz="4"/>
            </w:tcBorders>
            <w:shd w:fill="F3F4F6" w:val="clear"/>
            <w:tcMar>
              <w:top w:type="dxa" w:w="120"/>
              <w:left w:type="dxa" w:w="120"/>
              <w:bottom w:type="dxa" w:w="120"/>
              <w:right w:type="dxa" w:w="120"/>
            </w:tcMar>
          </w:tcPr>
          <w:p>
            <w:pPr>
              <w:spacing w:after="60"/>
            </w:pPr>
            <w:r>
              <w:rPr>
                <w:b/>
                <w:bCs/>
                <w:color w:val="3B82F6"/>
              </w:rPr>
              <w:t xml:space="preserve">PROPOSED</w:t>
            </w:r>
          </w:p>
          <w:p>
            <w:r>
              <w:rPr>
                <w:sz w:val="18"/>
                <w:szCs w:val="18"/>
              </w:rPr>
              <w:t xml:space="preserve">Raw AI output. Shown with reasoning in italics and a spark icon.</w:t>
            </w:r>
          </w:p>
        </w:tc>
        <w:tc>
          <w:tcPr>
            <w:tcW w:type="dxa" w:w="2350"/>
            <w:tcBorders>
              <w:top w:val="single" w:color="F59E0B" w:sz="4"/>
              <w:left w:val="single" w:color="F59E0B" w:sz="4"/>
              <w:bottom w:val="single" w:color="F59E0B" w:sz="4"/>
              <w:right w:val="single" w:color="F59E0B" w:sz="4"/>
            </w:tcBorders>
            <w:shd w:fill="F3F4F6" w:val="clear"/>
            <w:tcMar>
              <w:top w:type="dxa" w:w="120"/>
              <w:left w:type="dxa" w:w="120"/>
              <w:bottom w:type="dxa" w:w="120"/>
              <w:right w:type="dxa" w:w="120"/>
            </w:tcMar>
          </w:tcPr>
          <w:p>
            <w:pPr>
              <w:spacing w:after="60"/>
            </w:pPr>
            <w:r>
              <w:rPr>
                <w:b/>
                <w:bCs/>
                <w:color w:val="F59E0B"/>
              </w:rPr>
              <w:t xml:space="preserve">POLICY CHECK</w:t>
            </w:r>
          </w:p>
          <w:p>
            <w:r>
              <w:rPr>
                <w:sz w:val="18"/>
                <w:szCs w:val="18"/>
              </w:rPr>
              <w:t xml:space="preserve">Cage evaluates it. Clamped values shown struck through → replaced.</w:t>
            </w:r>
          </w:p>
        </w:tc>
        <w:tc>
          <w:tcPr>
            <w:tcW w:type="dxa" w:w="2350"/>
            <w:tcBorders>
              <w:top w:val="single" w:color="F59E0B" w:sz="4"/>
              <w:left w:val="single" w:color="F59E0B" w:sz="4"/>
              <w:bottom w:val="single" w:color="F59E0B" w:sz="4"/>
              <w:right w:val="single" w:color="F59E0B" w:sz="4"/>
            </w:tcBorders>
            <w:shd w:fill="F3F4F6" w:val="clear"/>
            <w:tcMar>
              <w:top w:type="dxa" w:w="120"/>
              <w:left w:type="dxa" w:w="120"/>
              <w:bottom w:type="dxa" w:w="120"/>
              <w:right w:type="dxa" w:w="120"/>
            </w:tcMar>
          </w:tcPr>
          <w:p>
            <w:pPr>
              <w:spacing w:after="60"/>
            </w:pPr>
            <w:r>
              <w:rPr>
                <w:b/>
                <w:bCs/>
                <w:color w:val="F59E0B"/>
              </w:rPr>
              <w:t xml:space="preserve">GATE</w:t>
            </w:r>
          </w:p>
          <w:p>
            <w:r>
              <w:rPr>
                <w:sz w:val="18"/>
                <w:szCs w:val="18"/>
              </w:rPr>
              <w:t xml:space="preserve">If above auto-approve threshold: pending, pulsing dot, Approve / Reject.</w:t>
            </w:r>
          </w:p>
        </w:tc>
        <w:tc>
          <w:tcPr>
            <w:tcW w:type="dxa" w:w="2350"/>
            <w:tcBorders>
              <w:top w:val="single" w:color="10B981" w:sz="4"/>
              <w:left w:val="single" w:color="10B981" w:sz="4"/>
              <w:bottom w:val="single" w:color="10B981" w:sz="4"/>
              <w:right w:val="single" w:color="10B981" w:sz="4"/>
            </w:tcBorders>
            <w:shd w:fill="F3F4F6" w:val="clear"/>
            <w:tcMar>
              <w:top w:type="dxa" w:w="120"/>
              <w:left w:type="dxa" w:w="120"/>
              <w:bottom w:type="dxa" w:w="120"/>
              <w:right w:type="dxa" w:w="120"/>
            </w:tcMar>
          </w:tcPr>
          <w:p>
            <w:pPr>
              <w:spacing w:after="60"/>
            </w:pPr>
            <w:r>
              <w:rPr>
                <w:b/>
                <w:bCs/>
                <w:color w:val="10B981"/>
              </w:rPr>
              <w:t xml:space="preserve">OUTCOME</w:t>
            </w:r>
          </w:p>
          <w:p>
            <w:r>
              <w:rPr>
                <w:sz w:val="18"/>
                <w:szCs w:val="18"/>
              </w:rPr>
              <w:t xml:space="preserve">Razorpay order id, payment status, timestamp, in monospace.</w:t>
            </w:r>
          </w:p>
        </w:tc>
      </w:tr>
    </w:tbl>
    <w:p>
      <w:pPr>
        <w:spacing w:after="200"/>
      </w:pPr>
    </w:p>
    <w:p>
      <w:pPr>
        <w:spacing w:after="160"/>
      </w:pPr>
      <w:r>
        <w:rPr>
          <w:b/>
          <w:bCs/>
        </w:rPr>
        <w:t xml:space="preserve">Each full card should read like a single sentence of system behavior, understandable even to someone seeing the product for the first time — this is the single most important visual pattern in the product.</w:t>
      </w:r>
    </w:p>
    <w:p>
      <w:pPr>
        <w:pStyle w:val="Heading1"/>
        <w:spacing w:after="200" w:before="400"/>
      </w:pPr>
      <w:r>
        <w:t xml:space="preserve">4. Screen-by-Screen Specification</w:t>
      </w:r>
    </w:p>
    <w:p>
      <w:pPr>
        <w:pStyle w:val="Heading2"/>
        <w:spacing w:after="150" w:before="300"/>
      </w:pPr>
      <w:r>
        <w:t xml:space="preserve">4.1 Storefront (shopper-facing)</w:t>
      </w:r>
    </w:p>
    <w:p>
      <w:pPr>
        <w:pStyle w:val="ListParagraph"/>
        <w:numPr>
          <w:ilvl w:val="0"/>
          <w:numId w:val="2"/>
        </w:numPr>
        <w:spacing w:after="80"/>
      </w:pPr>
      <w:r>
        <w:t xml:space="preserve">Minimal demo e-commerce product page: grid of 4–6 clean product cards.</w:t>
      </w:r>
    </w:p>
    <w:p>
      <w:pPr>
        <w:pStyle w:val="ListParagraph"/>
        <w:numPr>
          <w:ilvl w:val="0"/>
          <w:numId w:val="2"/>
        </w:numPr>
        <w:spacing w:after="80"/>
      </w:pPr>
      <w:r>
        <w:t xml:space="preserve">Persistent cart drawer.</w:t>
      </w:r>
    </w:p>
    <w:p>
      <w:pPr>
        <w:pStyle w:val="ListParagraph"/>
        <w:numPr>
          <w:ilvl w:val="0"/>
          <w:numId w:val="2"/>
        </w:numPr>
        <w:spacing w:after="80"/>
      </w:pPr>
      <w:r>
        <w:t xml:space="preserve">On add-to-cart, a “Marlin AI” badge/chip animates in near the cart total, e.g. “Bundle &amp; save 20%,” styled as a soft blue suggestion card — visually distinct from static store UI.</w:t>
      </w:r>
    </w:p>
    <w:p>
      <w:pPr>
        <w:pStyle w:val="ListParagraph"/>
        <w:numPr>
          <w:ilvl w:val="0"/>
          <w:numId w:val="2"/>
        </w:numPr>
        <w:spacing w:after="80"/>
      </w:pPr>
      <w:r>
        <w:t xml:space="preserve">A one-line reasoning shown underneath in smaller italic text, e.g. “customers who bought this also added X.”</w:t>
      </w:r>
    </w:p>
    <w:p>
      <w:pPr>
        <w:pStyle w:val="ListParagraph"/>
        <w:numPr>
          <w:ilvl w:val="0"/>
          <w:numId w:val="2"/>
        </w:numPr>
        <w:spacing w:after="80"/>
      </w:pPr>
      <w:r>
        <w:t xml:space="preserve">Checkout leads to a Razorpay-style payment sheet.</w:t>
      </w:r>
    </w:p>
    <w:p>
      <w:pPr>
        <w:pStyle w:val="Heading2"/>
        <w:spacing w:after="150" w:before="300"/>
      </w:pPr>
      <w:r>
        <w:t xml:space="preserve">4.2 Live Ledger Feed (centerpiece dashboard)</w:t>
      </w:r>
    </w:p>
    <w:p>
      <w:pPr>
        <w:pStyle w:val="ListParagraph"/>
        <w:numPr>
          <w:ilvl w:val="0"/>
          <w:numId w:val="2"/>
        </w:numPr>
        <w:spacing w:after="80"/>
      </w:pPr>
      <w:r>
        <w:t xml:space="preserve">Vertically scrolling, real-time feed of ledger entries.</w:t>
      </w:r>
    </w:p>
    <w:p>
      <w:pPr>
        <w:pStyle w:val="ListParagraph"/>
        <w:numPr>
          <w:ilvl w:val="0"/>
          <w:numId w:val="2"/>
        </w:numPr>
        <w:spacing w:after="80"/>
      </w:pPr>
      <w:r>
        <w:t xml:space="preserve">Each entry rendered as a horizontal timeline card using the four-state pattern from Section 3, laid out left to right as connected steps.</w:t>
      </w:r>
    </w:p>
    <w:p>
      <w:pPr>
        <w:pStyle w:val="ListParagraph"/>
        <w:numPr>
          <w:ilvl w:val="0"/>
          <w:numId w:val="2"/>
        </w:numPr>
        <w:spacing w:after="80"/>
      </w:pPr>
      <w:r>
        <w:t xml:space="preserve">Clamped values shown struck through and replaced (e.g. “~25%~ → 20%” in amber) so the before/after is obvious without a click.</w:t>
      </w:r>
    </w:p>
    <w:p>
      <w:pPr>
        <w:pStyle w:val="ListParagraph"/>
        <w:numPr>
          <w:ilvl w:val="0"/>
          <w:numId w:val="2"/>
        </w:numPr>
        <w:spacing w:after="80"/>
      </w:pPr>
      <w:r>
        <w:t xml:space="preserve">Filter/tab bar at top: All / Approved / Clamped / Rejected / Awaiting Approval.</w:t>
      </w:r>
    </w:p>
    <w:p>
      <w:pPr>
        <w:pStyle w:val="ListParagraph"/>
        <w:numPr>
          <w:ilvl w:val="0"/>
          <w:numId w:val="2"/>
        </w:numPr>
        <w:spacing w:after="80"/>
      </w:pPr>
      <w:r>
        <w:t xml:space="preserve">A small stat strip showing total discount given, total proposals, and rejection rate.</w:t>
      </w:r>
    </w:p>
    <w:p>
      <w:pPr>
        <w:spacing w:after="160"/>
      </w:pPr>
      <w:r>
        <w:rPr>
          <w:i/>
          <w:iCs/>
          <w:color w:val="6B7280"/>
        </w:rPr>
        <w:t xml:space="preserve">This is the screen judges will screenshot — prioritize getting the color-coding and card layout right here before building the rest.</w:t>
      </w:r>
    </w:p>
    <w:p>
      <w:pPr>
        <w:pStyle w:val="Heading2"/>
        <w:spacing w:after="150" w:before="300"/>
      </w:pPr>
      <w:r>
        <w:t xml:space="preserve">4.3 Campaign Orchestrator panel</w:t>
      </w:r>
    </w:p>
    <w:p>
      <w:pPr>
        <w:pStyle w:val="ListParagraph"/>
        <w:numPr>
          <w:ilvl w:val="0"/>
          <w:numId w:val="2"/>
        </w:numPr>
        <w:spacing w:after="80"/>
      </w:pPr>
      <w:r>
        <w:t xml:space="preserve">Grid of campaign cards: name, target SKUs, discount %, countdown/progress bar to expiry, status pill (Active / Scheduled / Expired).</w:t>
      </w:r>
    </w:p>
    <w:p>
      <w:pPr>
        <w:pStyle w:val="ListParagraph"/>
        <w:numPr>
          <w:ilvl w:val="0"/>
          <w:numId w:val="2"/>
        </w:numPr>
        <w:spacing w:after="80"/>
      </w:pPr>
      <w:r>
        <w:t xml:space="preserve">An “Agent Activity” strip above the grid showing the orchestrator's periodic review cycle (e.g. “Next review in 47 min”) — this visually signals that this agent runs on its own schedule, distinct from the per-checkout agent.</w:t>
      </w:r>
    </w:p>
    <w:p>
      <w:pPr>
        <w:pStyle w:val="Heading2"/>
        <w:spacing w:after="150" w:before="300"/>
      </w:pPr>
      <w:r>
        <w:t xml:space="preserve">4.4 Failure / Recovery detail view</w:t>
      </w:r>
    </w:p>
    <w:p>
      <w:pPr>
        <w:pStyle w:val="ListParagraph"/>
        <w:numPr>
          <w:ilvl w:val="0"/>
          <w:numId w:val="2"/>
        </w:numPr>
        <w:spacing w:after="80"/>
      </w:pPr>
      <w:r>
        <w:t xml:space="preserve">Opened from a single ledger entry as a modal or side drawer.</w:t>
      </w:r>
    </w:p>
    <w:p>
      <w:pPr>
        <w:pStyle w:val="ListParagraph"/>
        <w:numPr>
          <w:ilvl w:val="0"/>
          <w:numId w:val="2"/>
        </w:numPr>
        <w:spacing w:after="80"/>
      </w:pPr>
      <w:r>
        <w:t xml:space="preserve">Full lifecycle of one order shown as a vertical stepper: Proposed → Clamped → Order Created → Payment Attempted → Failed → Reverted to standard price, no retry with discount.</w:t>
      </w:r>
    </w:p>
    <w:p>
      <w:pPr>
        <w:pStyle w:val="ListParagraph"/>
        <w:numPr>
          <w:ilvl w:val="0"/>
          <w:numId w:val="2"/>
        </w:numPr>
        <w:spacing w:after="80"/>
      </w:pPr>
      <w:r>
        <w:t xml:space="preserve">The failure step rendered in red; the recovery step immediately after in green — this contrast is the visual punchline that proves “graceful failure handling.”</w:t>
      </w:r>
    </w:p>
    <w:p>
      <w:pPr>
        <w:pStyle w:val="Heading1"/>
        <w:spacing w:after="200" w:before="400"/>
      </w:pPr>
      <w:r>
        <w:t xml:space="preserve">5. Implementation Notes</w:t>
      </w:r>
    </w:p>
    <w:p>
      <w:pPr>
        <w:pStyle w:val="ListParagraph"/>
        <w:numPr>
          <w:ilvl w:val="0"/>
          <w:numId w:val="2"/>
        </w:numPr>
        <w:spacing w:after="80"/>
      </w:pPr>
      <w:r>
        <w:t xml:space="preserve">Build the Live Ledger Feed's four-state card first and get the color system locked before designing any other screen — every other screen reuses this pattern.</w:t>
      </w:r>
    </w:p>
    <w:p>
      <w:pPr>
        <w:pStyle w:val="ListParagraph"/>
        <w:numPr>
          <w:ilvl w:val="0"/>
          <w:numId w:val="2"/>
        </w:numPr>
        <w:spacing w:after="80"/>
      </w:pPr>
      <w:r>
        <w:t xml:space="preserve">Design the Storefront and the Dashboard as separate passes; they intentionally look different (light/dense vs dark/data-heavy) and should not be blended into one visual style.</w:t>
      </w:r>
    </w:p>
    <w:p>
      <w:pPr>
        <w:pStyle w:val="ListParagraph"/>
        <w:numPr>
          <w:ilvl w:val="0"/>
          <w:numId w:val="2"/>
        </w:numPr>
        <w:spacing w:after="80"/>
      </w:pPr>
      <w:r>
        <w:t xml:space="preserve">If early drafts feel too much like a generic consumer AI app, reduce gradients and glow, increase borders and information density.</w:t>
      </w:r>
    </w:p>
    <w:p>
      <w:pPr>
        <w:pStyle w:val="ListParagraph"/>
        <w:numPr>
          <w:ilvl w:val="0"/>
          <w:numId w:val="2"/>
        </w:numPr>
        <w:spacing w:after="80"/>
      </w:pPr>
      <w:r>
        <w:t xml:space="preserve">Keep the four state colors (blue / amber / green / red) reserved exclusively for their defined meaning — do not reuse them decoratively elsewhere in the UI.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2026-08-23T15:46:20.137Z</dcterms:created>
  <dcterms:modified xsi:type="dcterms:W3CDTF">2026-08-23T15:46:20.155Z</dcterms:modified>
</cp:coreProperties>
</file>

<file path=docProps/custom.xml><?xml version="1.0" encoding="utf-8"?>
<Properties xmlns="http://schemas.openxmlformats.org/officeDocument/2006/custom-properties" xmlns:vt="http://schemas.openxmlformats.org/officeDocument/2006/docPropsVTypes"/>
</file>