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6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76"/>
      </w:tblGrid>
      <w:tr w:rsidR="00C055B4" w:rsidRPr="001445FE" w:rsidTr="00BF3D26">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1445FE" w:rsidRDefault="001445FE" w:rsidP="001445FE">
            <w:pPr>
              <w:spacing w:after="0" w:line="240" w:lineRule="auto"/>
              <w:jc w:val="both"/>
              <w:rPr>
                <w:rFonts w:ascii="Book Antiqua" w:hAnsi="Book Antiqua"/>
                <w:b/>
                <w:color w:val="000000"/>
                <w:sz w:val="24"/>
                <w:szCs w:val="24"/>
              </w:rPr>
            </w:pPr>
            <w:r w:rsidRPr="001445FE">
              <w:rPr>
                <w:rFonts w:ascii="Book Antiqua" w:hAnsi="Book Antiqua"/>
                <w:b/>
                <w:color w:val="000000"/>
                <w:sz w:val="24"/>
                <w:szCs w:val="24"/>
              </w:rPr>
              <w:t xml:space="preserve">Mann </w:t>
            </w:r>
            <w:bookmarkStart w:id="0" w:name="_GoBack"/>
            <w:bookmarkEnd w:id="0"/>
            <w:r w:rsidRPr="001445FE">
              <w:rPr>
                <w:rFonts w:ascii="Book Antiqua" w:hAnsi="Book Antiqua"/>
                <w:b/>
                <w:color w:val="000000"/>
                <w:sz w:val="24"/>
                <w:szCs w:val="24"/>
              </w:rPr>
              <w:t xml:space="preserve">Whitney U </w:t>
            </w:r>
            <w:r w:rsidR="00C542D7" w:rsidRPr="001445FE">
              <w:rPr>
                <w:rFonts w:ascii="Book Antiqua" w:hAnsi="Book Antiqua"/>
                <w:b/>
                <w:color w:val="000000"/>
                <w:sz w:val="24"/>
                <w:szCs w:val="24"/>
              </w:rPr>
              <w:t xml:space="preserve"> Test: </w:t>
            </w:r>
            <w:r w:rsidR="0042698D" w:rsidRPr="001445FE">
              <w:rPr>
                <w:rFonts w:ascii="Book Antiqua" w:hAnsi="Book Antiqua"/>
                <w:b/>
                <w:color w:val="000000"/>
                <w:sz w:val="24"/>
                <w:szCs w:val="24"/>
              </w:rPr>
              <w:t>Tutorial</w:t>
            </w:r>
          </w:p>
        </w:tc>
      </w:tr>
      <w:tr w:rsidR="001445FE" w:rsidRPr="001445FE" w:rsidTr="00BF3D26">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1445FE" w:rsidRPr="001445FE" w:rsidRDefault="001445FE" w:rsidP="001445FE">
            <w:pPr>
              <w:pStyle w:val="NormalWeb"/>
              <w:numPr>
                <w:ilvl w:val="0"/>
                <w:numId w:val="34"/>
              </w:numPr>
              <w:shd w:val="clear" w:color="auto" w:fill="FFFFFF"/>
              <w:jc w:val="both"/>
              <w:rPr>
                <w:rFonts w:ascii="Book Antiqua" w:hAnsi="Book Antiqua" w:cs="Arial"/>
                <w:color w:val="000000"/>
              </w:rPr>
            </w:pPr>
            <w:r w:rsidRPr="001445FE">
              <w:rPr>
                <w:rFonts w:ascii="Book Antiqua" w:hAnsi="Book Antiqua"/>
              </w:rPr>
              <w:t xml:space="preserve">The following data shows the age at diagnosis of type II diabetes in young adults. Is the age at diagnosis different for males and females? </w:t>
            </w:r>
          </w:p>
          <w:tbl>
            <w:tblPr>
              <w:tblStyle w:val="TableGrid"/>
              <w:tblW w:w="0" w:type="auto"/>
              <w:tblInd w:w="720" w:type="dxa"/>
              <w:tblLayout w:type="fixed"/>
              <w:tblLook w:val="04A0" w:firstRow="1" w:lastRow="0" w:firstColumn="1" w:lastColumn="0" w:noHBand="0" w:noVBand="1"/>
            </w:tblPr>
            <w:tblGrid>
              <w:gridCol w:w="1641"/>
              <w:gridCol w:w="1641"/>
              <w:gridCol w:w="1642"/>
              <w:gridCol w:w="1642"/>
              <w:gridCol w:w="1642"/>
              <w:gridCol w:w="1642"/>
            </w:tblGrid>
            <w:tr w:rsidR="001445FE" w:rsidRPr="001445FE" w:rsidTr="001445FE">
              <w:tc>
                <w:tcPr>
                  <w:tcW w:w="1641"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Males</w:t>
                  </w:r>
                </w:p>
              </w:tc>
              <w:tc>
                <w:tcPr>
                  <w:tcW w:w="1641"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19</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22</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16</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29</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24</w:t>
                  </w:r>
                </w:p>
              </w:tc>
            </w:tr>
            <w:tr w:rsidR="001445FE" w:rsidRPr="001445FE" w:rsidTr="001445FE">
              <w:tc>
                <w:tcPr>
                  <w:tcW w:w="1641"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Females</w:t>
                  </w:r>
                </w:p>
              </w:tc>
              <w:tc>
                <w:tcPr>
                  <w:tcW w:w="1641"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20</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11</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17</w:t>
                  </w:r>
                </w:p>
              </w:tc>
              <w:tc>
                <w:tcPr>
                  <w:tcW w:w="1642" w:type="dxa"/>
                </w:tcPr>
                <w:p w:rsidR="001445FE" w:rsidRPr="001445FE" w:rsidRDefault="001445FE" w:rsidP="001445FE">
                  <w:pPr>
                    <w:pStyle w:val="NormalWeb"/>
                    <w:jc w:val="both"/>
                    <w:rPr>
                      <w:rFonts w:ascii="Book Antiqua" w:hAnsi="Book Antiqua" w:cs="Arial"/>
                      <w:color w:val="000000"/>
                    </w:rPr>
                  </w:pPr>
                  <w:r w:rsidRPr="001445FE">
                    <w:rPr>
                      <w:rFonts w:ascii="Book Antiqua" w:hAnsi="Book Antiqua" w:cs="Arial"/>
                      <w:color w:val="000000"/>
                    </w:rPr>
                    <w:t>12</w:t>
                  </w:r>
                </w:p>
              </w:tc>
              <w:tc>
                <w:tcPr>
                  <w:tcW w:w="1642" w:type="dxa"/>
                </w:tcPr>
                <w:p w:rsidR="001445FE" w:rsidRPr="001445FE" w:rsidRDefault="001445FE" w:rsidP="001445FE">
                  <w:pPr>
                    <w:pStyle w:val="NormalWeb"/>
                    <w:jc w:val="both"/>
                    <w:rPr>
                      <w:rFonts w:ascii="Book Antiqua" w:hAnsi="Book Antiqua" w:cs="Arial"/>
                      <w:color w:val="000000"/>
                    </w:rPr>
                  </w:pPr>
                </w:p>
              </w:tc>
            </w:tr>
          </w:tbl>
          <w:p w:rsidR="001445FE" w:rsidRPr="001445FE" w:rsidRDefault="001445FE" w:rsidP="001445FE">
            <w:pPr>
              <w:pStyle w:val="NormalWeb"/>
              <w:numPr>
                <w:ilvl w:val="0"/>
                <w:numId w:val="34"/>
              </w:numPr>
              <w:shd w:val="clear" w:color="auto" w:fill="FFFFFF"/>
              <w:jc w:val="both"/>
              <w:rPr>
                <w:rFonts w:ascii="Book Antiqua" w:hAnsi="Book Antiqua" w:cs="Arial"/>
                <w:color w:val="000000"/>
              </w:rPr>
            </w:pPr>
            <w:r w:rsidRPr="001445FE">
              <w:rPr>
                <w:rFonts w:ascii="Book Antiqua" w:hAnsi="Book Antiqua" w:cs="Arial"/>
                <w:color w:val="000000"/>
              </w:rPr>
              <w:t>A new approach to prenatal care is proposed for pregnant women living in a rural community. The new program involves in-home visits during the course of pregnancy in addition to the usual or regularly scheduled visits. A pilot randomized trial with 15 pregnant women is designed to evaluate whether women who participate in the program deliver healthier babies than women receiving usual care. The outcome is the </w:t>
            </w:r>
            <w:hyperlink r:id="rId8" w:history="1">
              <w:proofErr w:type="gramStart"/>
              <w:r w:rsidRPr="001445FE">
                <w:rPr>
                  <w:rStyle w:val="Hyperlink"/>
                  <w:rFonts w:ascii="Book Antiqua" w:hAnsi="Book Antiqua" w:cs="Arial"/>
                  <w:b/>
                  <w:bCs/>
                </w:rPr>
                <w:t>APGAR</w:t>
              </w:r>
              <w:proofErr w:type="gramEnd"/>
              <w:r w:rsidRPr="001445FE">
                <w:rPr>
                  <w:rStyle w:val="Hyperlink"/>
                  <w:rFonts w:ascii="Book Antiqua" w:hAnsi="Book Antiqua" w:cs="Arial"/>
                  <w:b/>
                  <w:bCs/>
                </w:rPr>
                <w:t xml:space="preserve"> score</w:t>
              </w:r>
            </w:hyperlink>
            <w:r w:rsidRPr="001445FE">
              <w:rPr>
                <w:rFonts w:ascii="Book Antiqua" w:hAnsi="Book Antiqua" w:cs="Arial"/>
                <w:noProof/>
                <w:color w:val="000000"/>
                <w:lang w:bidi="hi-IN"/>
              </w:rPr>
              <w:drawing>
                <wp:inline distT="0" distB="0" distL="0" distR="0">
                  <wp:extent cx="9525" cy="9525"/>
                  <wp:effectExtent l="0" t="0" r="0" b="0"/>
                  <wp:docPr id="2" name="Picture 2" descr="http://sphweb.bumc.bu.edu/otlt/mph-modules/bs/bs704_nonparametric/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web.bumc.bu.edu/otlt/mph-modules/bs/bs704_nonparametric/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445FE">
              <w:rPr>
                <w:rFonts w:ascii="Book Antiqua" w:hAnsi="Book Antiqua" w:cs="Arial"/>
                <w:color w:val="000000"/>
              </w:rPr>
              <w:t> measured 5 minutes after birth. Recall that APGAR scores range from 0 to 10 with scores of 7 or higher considered normal (healthy), 4-6 low and 0-3 critically low. The data are shown below.</w:t>
            </w:r>
          </w:p>
          <w:tbl>
            <w:tblPr>
              <w:tblW w:w="1066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082"/>
              <w:gridCol w:w="783"/>
              <w:gridCol w:w="783"/>
              <w:gridCol w:w="782"/>
              <w:gridCol w:w="782"/>
              <w:gridCol w:w="1092"/>
              <w:gridCol w:w="782"/>
              <w:gridCol w:w="782"/>
              <w:gridCol w:w="797"/>
            </w:tblGrid>
            <w:tr w:rsidR="001445FE" w:rsidRPr="001445FE" w:rsidTr="001445FE">
              <w:trPr>
                <w:tblCellSpacing w:w="15" w:type="dxa"/>
              </w:trPr>
              <w:tc>
                <w:tcPr>
                  <w:tcW w:w="4037"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Style w:val="Strong"/>
                      <w:rFonts w:ascii="Book Antiqua" w:hAnsi="Book Antiqua" w:cs="Arial"/>
                      <w:color w:val="000000"/>
                    </w:rPr>
                    <w:t>Usual Care</w:t>
                  </w:r>
                </w:p>
              </w:tc>
              <w:tc>
                <w:tcPr>
                  <w:tcW w:w="753"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w:t>
                  </w:r>
                </w:p>
              </w:tc>
              <w:tc>
                <w:tcPr>
                  <w:tcW w:w="753"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7</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2</w:t>
                  </w:r>
                </w:p>
              </w:tc>
              <w:tc>
                <w:tcPr>
                  <w:tcW w:w="106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5</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7</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3</w:t>
                  </w:r>
                </w:p>
              </w:tc>
            </w:tr>
            <w:tr w:rsidR="001445FE" w:rsidRPr="001445FE" w:rsidTr="001445FE">
              <w:trPr>
                <w:tblCellSpacing w:w="15" w:type="dxa"/>
              </w:trPr>
              <w:tc>
                <w:tcPr>
                  <w:tcW w:w="4037"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Style w:val="Strong"/>
                      <w:rFonts w:ascii="Book Antiqua" w:hAnsi="Book Antiqua" w:cs="Arial"/>
                      <w:color w:val="000000"/>
                    </w:rPr>
                    <w:t>New Program</w:t>
                  </w:r>
                </w:p>
              </w:tc>
              <w:tc>
                <w:tcPr>
                  <w:tcW w:w="753"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w:t>
                  </w:r>
                </w:p>
              </w:tc>
              <w:tc>
                <w:tcPr>
                  <w:tcW w:w="753"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7</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w:t>
                  </w:r>
                </w:p>
              </w:tc>
              <w:tc>
                <w:tcPr>
                  <w:tcW w:w="106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10</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w:t>
                  </w:r>
                </w:p>
              </w:tc>
              <w:tc>
                <w:tcPr>
                  <w:tcW w:w="752"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 </w:t>
                  </w:r>
                </w:p>
              </w:tc>
            </w:tr>
          </w:tbl>
          <w:p w:rsidR="001445FE" w:rsidRPr="001445FE" w:rsidRDefault="001445FE" w:rsidP="001445FE">
            <w:pPr>
              <w:pStyle w:val="NormalWeb"/>
              <w:shd w:val="clear" w:color="auto" w:fill="FFFFFF"/>
              <w:ind w:left="697"/>
              <w:jc w:val="both"/>
              <w:rPr>
                <w:rFonts w:ascii="Book Antiqua" w:hAnsi="Book Antiqua" w:cs="Arial"/>
                <w:color w:val="000000"/>
              </w:rPr>
            </w:pPr>
            <w:r>
              <w:rPr>
                <w:rFonts w:ascii="Book Antiqua" w:hAnsi="Book Antiqua" w:cs="Arial"/>
                <w:color w:val="000000"/>
              </w:rPr>
              <w:t xml:space="preserve"> </w:t>
            </w:r>
            <w:r w:rsidRPr="001445FE">
              <w:rPr>
                <w:rFonts w:ascii="Book Antiqua" w:hAnsi="Book Antiqua" w:cs="Arial"/>
                <w:color w:val="000000"/>
              </w:rPr>
              <w:t xml:space="preserve">Is there statistical evidence of a difference in APGAR scores in women receiving the </w:t>
            </w:r>
            <w:r>
              <w:rPr>
                <w:rFonts w:ascii="Book Antiqua" w:hAnsi="Book Antiqua" w:cs="Arial"/>
                <w:color w:val="000000"/>
              </w:rPr>
              <w:t xml:space="preserve">  </w:t>
            </w:r>
            <w:r w:rsidRPr="001445FE">
              <w:rPr>
                <w:rFonts w:ascii="Book Antiqua" w:hAnsi="Book Antiqua" w:cs="Arial"/>
                <w:color w:val="000000"/>
              </w:rPr>
              <w:t>new and enhanced versus usual prenatal care?</w:t>
            </w:r>
          </w:p>
          <w:p w:rsidR="001445FE" w:rsidRPr="001445FE" w:rsidRDefault="001445FE" w:rsidP="001445FE">
            <w:pPr>
              <w:pStyle w:val="NormalWeb"/>
              <w:numPr>
                <w:ilvl w:val="0"/>
                <w:numId w:val="34"/>
              </w:numPr>
              <w:shd w:val="clear" w:color="auto" w:fill="FFFFFF"/>
              <w:jc w:val="both"/>
              <w:rPr>
                <w:rFonts w:ascii="Book Antiqua" w:hAnsi="Book Antiqua" w:cs="Arial"/>
                <w:color w:val="000000"/>
              </w:rPr>
            </w:pPr>
            <w:r w:rsidRPr="001445FE">
              <w:rPr>
                <w:rFonts w:ascii="Book Antiqua" w:hAnsi="Book Antiqua" w:cs="Arial"/>
                <w:color w:val="000000"/>
              </w:rPr>
              <w:t>A clinical trial is run to assess the effectiveness of a new anti-retroviral therapy for patients with HIV. Patients are randomized to receive a standard anti-retroviral therapy (usual care) or the new anti-retroviral therapy and are monitored for 3 months. The primary outcome is viral load which represents the number of HIV copies per milliliter of blood. A total of 30 participants are randomized and the data are shown below.</w:t>
            </w:r>
          </w:p>
          <w:tbl>
            <w:tblPr>
              <w:tblW w:w="1477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71"/>
              <w:gridCol w:w="904"/>
              <w:gridCol w:w="904"/>
              <w:gridCol w:w="904"/>
              <w:gridCol w:w="807"/>
              <w:gridCol w:w="905"/>
              <w:gridCol w:w="905"/>
              <w:gridCol w:w="905"/>
              <w:gridCol w:w="905"/>
              <w:gridCol w:w="905"/>
              <w:gridCol w:w="905"/>
              <w:gridCol w:w="905"/>
              <w:gridCol w:w="807"/>
              <w:gridCol w:w="905"/>
              <w:gridCol w:w="807"/>
              <w:gridCol w:w="531"/>
            </w:tblGrid>
            <w:tr w:rsidR="001445FE" w:rsidRPr="001445FE" w:rsidTr="001445FE">
              <w:trPr>
                <w:tblCellSpacing w:w="15" w:type="dxa"/>
              </w:trPr>
              <w:tc>
                <w:tcPr>
                  <w:tcW w:w="141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Standard Therapy</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7500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8000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2000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550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1250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1000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2250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6800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3400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6300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9100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970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1040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670</w:t>
                  </w:r>
                </w:p>
              </w:tc>
              <w:tc>
                <w:tcPr>
                  <w:tcW w:w="3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400</w:t>
                  </w:r>
                </w:p>
              </w:tc>
            </w:tr>
            <w:tr w:rsidR="001445FE" w:rsidRPr="001445FE" w:rsidTr="001445FE">
              <w:trPr>
                <w:tblCellSpacing w:w="15" w:type="dxa"/>
              </w:trPr>
              <w:tc>
                <w:tcPr>
                  <w:tcW w:w="141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New Therapy</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400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250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800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1400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8000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7400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1020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6000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920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1420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2700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4200</w:t>
                  </w:r>
                </w:p>
              </w:tc>
              <w:tc>
                <w:tcPr>
                  <w:tcW w:w="6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5200</w:t>
                  </w:r>
                </w:p>
              </w:tc>
              <w:tc>
                <w:tcPr>
                  <w:tcW w:w="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4100</w:t>
                  </w:r>
                </w:p>
              </w:tc>
              <w:tc>
                <w:tcPr>
                  <w:tcW w:w="375" w:type="dxa"/>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1445FE" w:rsidRPr="001445FE" w:rsidRDefault="001445FE" w:rsidP="001445FE">
                  <w:pPr>
                    <w:pStyle w:val="NormalWeb"/>
                    <w:spacing w:before="96" w:beforeAutospacing="0" w:after="96" w:afterAutospacing="0"/>
                    <w:jc w:val="both"/>
                    <w:rPr>
                      <w:rFonts w:ascii="Book Antiqua" w:hAnsi="Book Antiqua" w:cs="Arial"/>
                      <w:color w:val="000000"/>
                    </w:rPr>
                  </w:pPr>
                  <w:r w:rsidRPr="001445FE">
                    <w:rPr>
                      <w:rFonts w:ascii="Book Antiqua" w:hAnsi="Book Antiqua" w:cs="Arial"/>
                      <w:color w:val="000000"/>
                    </w:rPr>
                    <w:t>undetectable</w:t>
                  </w:r>
                </w:p>
              </w:tc>
            </w:tr>
          </w:tbl>
          <w:p w:rsidR="001445FE" w:rsidRPr="001445FE" w:rsidRDefault="001445FE" w:rsidP="001445FE">
            <w:pPr>
              <w:pStyle w:val="NormalWeb"/>
              <w:shd w:val="clear" w:color="auto" w:fill="FFFFFF"/>
              <w:ind w:left="720"/>
              <w:jc w:val="both"/>
              <w:rPr>
                <w:rFonts w:ascii="Book Antiqua" w:hAnsi="Book Antiqua" w:cs="Arial"/>
                <w:color w:val="000000"/>
              </w:rPr>
            </w:pPr>
            <w:r w:rsidRPr="001445FE">
              <w:rPr>
                <w:rFonts w:ascii="Book Antiqua" w:hAnsi="Book Antiqua" w:cs="Arial"/>
                <w:color w:val="000000"/>
              </w:rPr>
              <w:t>Is there statistical evidence of a difference in viral load in patients receiving the standard versus the new anti-retroviral therapy?</w:t>
            </w:r>
          </w:p>
          <w:p w:rsidR="001445FE" w:rsidRPr="001445FE" w:rsidRDefault="001445FE" w:rsidP="001445FE">
            <w:pPr>
              <w:pStyle w:val="NormalWeb"/>
              <w:numPr>
                <w:ilvl w:val="0"/>
                <w:numId w:val="34"/>
              </w:numPr>
              <w:shd w:val="clear" w:color="auto" w:fill="FFFFFF"/>
              <w:spacing w:before="0" w:beforeAutospacing="0" w:after="360" w:afterAutospacing="0"/>
              <w:jc w:val="both"/>
              <w:rPr>
                <w:rFonts w:ascii="Book Antiqua" w:hAnsi="Book Antiqua" w:cs="Arial"/>
                <w:color w:val="000000"/>
              </w:rPr>
            </w:pPr>
            <w:r w:rsidRPr="001445FE">
              <w:rPr>
                <w:rFonts w:ascii="Book Antiqua" w:hAnsi="Book Antiqua" w:cs="Arial"/>
                <w:color w:val="000000"/>
              </w:rPr>
              <w:lastRenderedPageBreak/>
              <w:t>Twenty participants were given a list of 20 words to process. The 20 participants were randomly assigned to one of two treatment conditions. Half were instructed to count the number of vowels in each word (shallow processing). Half were instructed to judge whether the object described by each word would be useful if one were stranded on a desert island (deep processing). After a brief distractor task, all subjects were given a surprise free recall task. The number of words correctly recalled was recorded for each subject. Here are the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12"/>
              <w:gridCol w:w="600"/>
              <w:gridCol w:w="600"/>
              <w:gridCol w:w="600"/>
              <w:gridCol w:w="600"/>
              <w:gridCol w:w="600"/>
              <w:gridCol w:w="600"/>
              <w:gridCol w:w="600"/>
              <w:gridCol w:w="600"/>
              <w:gridCol w:w="600"/>
              <w:gridCol w:w="600"/>
            </w:tblGrid>
            <w:tr w:rsidR="001445FE" w:rsidRPr="001445FE" w:rsidTr="001445FE">
              <w:trPr>
                <w:jc w:val="center"/>
              </w:trPr>
              <w:tc>
                <w:tcPr>
                  <w:tcW w:w="2312"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Shallow Processing:</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13</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12</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11</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9</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11</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13</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15</w:t>
                  </w:r>
                </w:p>
              </w:tc>
            </w:tr>
            <w:tr w:rsidR="001445FE" w:rsidRPr="001445FE" w:rsidTr="001445FE">
              <w:trPr>
                <w:jc w:val="center"/>
              </w:trPr>
              <w:tc>
                <w:tcPr>
                  <w:tcW w:w="2312"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Deep Processing:</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12</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15</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13</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12</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15</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14</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16</w:t>
                  </w:r>
                </w:p>
              </w:tc>
              <w:tc>
                <w:tcPr>
                  <w:tcW w:w="600" w:type="dxa"/>
                  <w:shd w:val="clear" w:color="auto" w:fill="FFFFFF"/>
                  <w:tcMar>
                    <w:top w:w="75" w:type="dxa"/>
                    <w:left w:w="75" w:type="dxa"/>
                    <w:bottom w:w="75" w:type="dxa"/>
                    <w:right w:w="75" w:type="dxa"/>
                  </w:tcMar>
                  <w:hideMark/>
                </w:tcPr>
                <w:p w:rsidR="001445FE" w:rsidRPr="001445FE" w:rsidRDefault="001445FE" w:rsidP="001445FE">
                  <w:pPr>
                    <w:jc w:val="both"/>
                    <w:rPr>
                      <w:rFonts w:ascii="Book Antiqua" w:hAnsi="Book Antiqua" w:cs="Arial"/>
                      <w:color w:val="000000"/>
                      <w:sz w:val="24"/>
                      <w:szCs w:val="24"/>
                    </w:rPr>
                  </w:pPr>
                  <w:r w:rsidRPr="001445FE">
                    <w:rPr>
                      <w:rFonts w:ascii="Book Antiqua" w:hAnsi="Book Antiqua" w:cs="Arial"/>
                      <w:color w:val="000000"/>
                      <w:sz w:val="24"/>
                      <w:szCs w:val="24"/>
                    </w:rPr>
                    <w:t>17</w:t>
                  </w:r>
                </w:p>
              </w:tc>
            </w:tr>
          </w:tbl>
          <w:p w:rsidR="001445FE" w:rsidRPr="001445FE" w:rsidRDefault="001445FE" w:rsidP="001445FE">
            <w:pPr>
              <w:pStyle w:val="NormalWeb"/>
              <w:shd w:val="clear" w:color="auto" w:fill="FFFFFF"/>
              <w:spacing w:before="0" w:beforeAutospacing="0" w:after="360" w:afterAutospacing="0"/>
              <w:ind w:left="697"/>
              <w:jc w:val="both"/>
              <w:rPr>
                <w:rFonts w:ascii="Book Antiqua" w:hAnsi="Book Antiqua" w:cs="Arial"/>
                <w:color w:val="000000"/>
              </w:rPr>
            </w:pPr>
            <w:r>
              <w:rPr>
                <w:rFonts w:ascii="Book Antiqua" w:hAnsi="Book Antiqua" w:cs="Arial"/>
                <w:color w:val="000000"/>
              </w:rPr>
              <w:t xml:space="preserve"> </w:t>
            </w:r>
            <w:r w:rsidRPr="001445FE">
              <w:rPr>
                <w:rFonts w:ascii="Book Antiqua" w:hAnsi="Book Antiqua" w:cs="Arial"/>
                <w:color w:val="000000"/>
              </w:rPr>
              <w:t xml:space="preserve">Did the instructions given to the participants significantly affect their level of recall </w:t>
            </w:r>
            <w:r>
              <w:rPr>
                <w:rFonts w:ascii="Book Antiqua" w:hAnsi="Book Antiqua" w:cs="Arial"/>
                <w:color w:val="000000"/>
              </w:rPr>
              <w:t xml:space="preserve">  </w:t>
            </w:r>
            <w:r w:rsidRPr="001445FE">
              <w:rPr>
                <w:rFonts w:ascii="Book Antiqua" w:hAnsi="Book Antiqua" w:cs="Arial"/>
                <w:color w:val="000000"/>
              </w:rPr>
              <w:t>(alpha = .05)?</w:t>
            </w:r>
          </w:p>
          <w:p w:rsidR="001445FE" w:rsidRPr="001445FE" w:rsidRDefault="001445FE" w:rsidP="001445FE">
            <w:pPr>
              <w:pStyle w:val="ListParagraph"/>
              <w:spacing w:after="0" w:line="240" w:lineRule="auto"/>
              <w:jc w:val="both"/>
              <w:rPr>
                <w:rFonts w:ascii="Book Antiqua" w:hAnsi="Book Antiqua"/>
                <w:b/>
                <w:color w:val="000000"/>
                <w:sz w:val="24"/>
                <w:szCs w:val="24"/>
              </w:rPr>
            </w:pPr>
          </w:p>
        </w:tc>
      </w:tr>
    </w:tbl>
    <w:p w:rsidR="008B3E4F" w:rsidRPr="001445FE" w:rsidRDefault="008B3E4F" w:rsidP="001445FE">
      <w:pPr>
        <w:spacing w:after="0" w:line="240" w:lineRule="auto"/>
        <w:jc w:val="both"/>
        <w:rPr>
          <w:rFonts w:ascii="Book Antiqua" w:hAnsi="Book Antiqua"/>
          <w:color w:val="000000"/>
          <w:sz w:val="24"/>
          <w:szCs w:val="24"/>
        </w:rPr>
      </w:pPr>
    </w:p>
    <w:sectPr w:rsidR="008B3E4F" w:rsidRPr="001445FE" w:rsidSect="006E0E8F">
      <w:headerReference w:type="default" r:id="rId10"/>
      <w:footerReference w:type="default" r:id="rId11"/>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094" w:rsidRDefault="00D32094" w:rsidP="00E77DE5">
      <w:pPr>
        <w:spacing w:after="0" w:line="240" w:lineRule="auto"/>
      </w:pPr>
      <w:r>
        <w:separator/>
      </w:r>
    </w:p>
  </w:endnote>
  <w:endnote w:type="continuationSeparator" w:id="0">
    <w:p w:rsidR="00D32094" w:rsidRDefault="00D32094"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iberation Serif">
    <w:altName w:val="MS PMincho"/>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094" w:rsidRDefault="00D32094" w:rsidP="00E77DE5">
      <w:pPr>
        <w:spacing w:after="0" w:line="240" w:lineRule="auto"/>
      </w:pPr>
      <w:r>
        <w:separator/>
      </w:r>
    </w:p>
  </w:footnote>
  <w:footnote w:type="continuationSeparator" w:id="0">
    <w:p w:rsidR="00D32094" w:rsidRDefault="00D32094"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2C2ADF"/>
    <w:multiLevelType w:val="hybridMultilevel"/>
    <w:tmpl w:val="7BC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E2B35"/>
    <w:multiLevelType w:val="hybridMultilevel"/>
    <w:tmpl w:val="976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FC5C30"/>
    <w:multiLevelType w:val="hybridMultilevel"/>
    <w:tmpl w:val="05CC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A138E8"/>
    <w:multiLevelType w:val="hybridMultilevel"/>
    <w:tmpl w:val="224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9"/>
  </w:num>
  <w:num w:numId="5">
    <w:abstractNumId w:val="8"/>
  </w:num>
  <w:num w:numId="6">
    <w:abstractNumId w:val="27"/>
  </w:num>
  <w:num w:numId="7">
    <w:abstractNumId w:val="25"/>
  </w:num>
  <w:num w:numId="8">
    <w:abstractNumId w:val="1"/>
  </w:num>
  <w:num w:numId="9">
    <w:abstractNumId w:val="7"/>
  </w:num>
  <w:num w:numId="10">
    <w:abstractNumId w:val="23"/>
  </w:num>
  <w:num w:numId="11">
    <w:abstractNumId w:val="28"/>
  </w:num>
  <w:num w:numId="12">
    <w:abstractNumId w:val="16"/>
  </w:num>
  <w:num w:numId="13">
    <w:abstractNumId w:val="2"/>
  </w:num>
  <w:num w:numId="14">
    <w:abstractNumId w:val="6"/>
  </w:num>
  <w:num w:numId="15">
    <w:abstractNumId w:val="18"/>
  </w:num>
  <w:num w:numId="16">
    <w:abstractNumId w:val="12"/>
  </w:num>
  <w:num w:numId="17">
    <w:abstractNumId w:val="9"/>
  </w:num>
  <w:num w:numId="18">
    <w:abstractNumId w:val="15"/>
  </w:num>
  <w:num w:numId="19">
    <w:abstractNumId w:val="11"/>
  </w:num>
  <w:num w:numId="20">
    <w:abstractNumId w:val="13"/>
  </w:num>
  <w:num w:numId="21">
    <w:abstractNumId w:val="22"/>
  </w:num>
  <w:num w:numId="22">
    <w:abstractNumId w:val="31"/>
  </w:num>
  <w:num w:numId="23">
    <w:abstractNumId w:val="21"/>
  </w:num>
  <w:num w:numId="24">
    <w:abstractNumId w:val="14"/>
  </w:num>
  <w:num w:numId="25">
    <w:abstractNumId w:val="32"/>
  </w:num>
  <w:num w:numId="26">
    <w:abstractNumId w:val="24"/>
  </w:num>
  <w:num w:numId="27">
    <w:abstractNumId w:val="5"/>
  </w:num>
  <w:num w:numId="28">
    <w:abstractNumId w:val="26"/>
  </w:num>
  <w:num w:numId="29">
    <w:abstractNumId w:val="19"/>
  </w:num>
  <w:num w:numId="30">
    <w:abstractNumId w:val="17"/>
  </w:num>
  <w:num w:numId="31">
    <w:abstractNumId w:val="10"/>
  </w:num>
  <w:num w:numId="32">
    <w:abstractNumId w:val="20"/>
  </w:num>
  <w:num w:numId="33">
    <w:abstractNumId w:val="33"/>
  </w:num>
  <w:num w:numId="34">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478E8"/>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45FE"/>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1666"/>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2698D"/>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8E6"/>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E7C77"/>
    <w:rsid w:val="005F19A4"/>
    <w:rsid w:val="005F43B9"/>
    <w:rsid w:val="006013AB"/>
    <w:rsid w:val="00603D3C"/>
    <w:rsid w:val="00604971"/>
    <w:rsid w:val="00604F69"/>
    <w:rsid w:val="00605DB7"/>
    <w:rsid w:val="0061084E"/>
    <w:rsid w:val="00610AC0"/>
    <w:rsid w:val="00610E1F"/>
    <w:rsid w:val="00615290"/>
    <w:rsid w:val="00615E17"/>
    <w:rsid w:val="00616FE2"/>
    <w:rsid w:val="0062100C"/>
    <w:rsid w:val="0062200E"/>
    <w:rsid w:val="006222EE"/>
    <w:rsid w:val="00622799"/>
    <w:rsid w:val="0062443F"/>
    <w:rsid w:val="00625149"/>
    <w:rsid w:val="006300B3"/>
    <w:rsid w:val="00636E62"/>
    <w:rsid w:val="00637626"/>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82E"/>
    <w:rsid w:val="00677C38"/>
    <w:rsid w:val="0068064B"/>
    <w:rsid w:val="0068304C"/>
    <w:rsid w:val="00684D76"/>
    <w:rsid w:val="00685B00"/>
    <w:rsid w:val="006906DF"/>
    <w:rsid w:val="00690848"/>
    <w:rsid w:val="00692A75"/>
    <w:rsid w:val="006936F3"/>
    <w:rsid w:val="006944B9"/>
    <w:rsid w:val="00695CDF"/>
    <w:rsid w:val="006A00F6"/>
    <w:rsid w:val="006A1892"/>
    <w:rsid w:val="006A2513"/>
    <w:rsid w:val="006A2614"/>
    <w:rsid w:val="006A2FC3"/>
    <w:rsid w:val="006A381E"/>
    <w:rsid w:val="006A68EE"/>
    <w:rsid w:val="006A6DEA"/>
    <w:rsid w:val="006B3EA6"/>
    <w:rsid w:val="006C0872"/>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42B0"/>
    <w:rsid w:val="0071699F"/>
    <w:rsid w:val="00717BA4"/>
    <w:rsid w:val="007206DE"/>
    <w:rsid w:val="007234B8"/>
    <w:rsid w:val="00723925"/>
    <w:rsid w:val="00724BBA"/>
    <w:rsid w:val="00724E20"/>
    <w:rsid w:val="00727997"/>
    <w:rsid w:val="00730FF8"/>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2327"/>
    <w:rsid w:val="007F6456"/>
    <w:rsid w:val="007F6DD2"/>
    <w:rsid w:val="00806451"/>
    <w:rsid w:val="0081193C"/>
    <w:rsid w:val="00814403"/>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77281"/>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436E0"/>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1D5F"/>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3D26"/>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42D7"/>
    <w:rsid w:val="00C55E9B"/>
    <w:rsid w:val="00C55F75"/>
    <w:rsid w:val="00C57220"/>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2094"/>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7727A"/>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DF7A6F"/>
    <w:rsid w:val="00E03289"/>
    <w:rsid w:val="00E03495"/>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3C8"/>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896207884">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251891330">
      <w:bodyDiv w:val="1"/>
      <w:marLeft w:val="0"/>
      <w:marRight w:val="0"/>
      <w:marTop w:val="0"/>
      <w:marBottom w:val="0"/>
      <w:divBdr>
        <w:top w:val="none" w:sz="0" w:space="0" w:color="auto"/>
        <w:left w:val="none" w:sz="0" w:space="0" w:color="auto"/>
        <w:bottom w:val="none" w:sz="0" w:space="0" w:color="auto"/>
        <w:right w:val="none" w:sz="0" w:space="0" w:color="auto"/>
      </w:divBdr>
    </w:div>
    <w:div w:id="1472794556">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 w:id="1638952053">
      <w:bodyDiv w:val="1"/>
      <w:marLeft w:val="0"/>
      <w:marRight w:val="0"/>
      <w:marTop w:val="0"/>
      <w:marBottom w:val="0"/>
      <w:divBdr>
        <w:top w:val="none" w:sz="0" w:space="0" w:color="auto"/>
        <w:left w:val="none" w:sz="0" w:space="0" w:color="auto"/>
        <w:bottom w:val="none" w:sz="0" w:space="0" w:color="auto"/>
        <w:right w:val="none" w:sz="0" w:space="0" w:color="auto"/>
      </w:divBdr>
    </w:div>
    <w:div w:id="1667779940">
      <w:bodyDiv w:val="1"/>
      <w:marLeft w:val="0"/>
      <w:marRight w:val="0"/>
      <w:marTop w:val="0"/>
      <w:marBottom w:val="0"/>
      <w:divBdr>
        <w:top w:val="none" w:sz="0" w:space="0" w:color="auto"/>
        <w:left w:val="none" w:sz="0" w:space="0" w:color="auto"/>
        <w:bottom w:val="none" w:sz="0" w:space="0" w:color="auto"/>
        <w:right w:val="none" w:sz="0" w:space="0" w:color="auto"/>
      </w:divBdr>
    </w:div>
    <w:div w:id="20581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78BA-D28E-410D-B729-8B0CD974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Lenovo</cp:lastModifiedBy>
  <cp:revision>44</cp:revision>
  <cp:lastPrinted>2018-03-17T06:53:00Z</cp:lastPrinted>
  <dcterms:created xsi:type="dcterms:W3CDTF">2018-12-03T10:37:00Z</dcterms:created>
  <dcterms:modified xsi:type="dcterms:W3CDTF">2019-12-30T17:35:00Z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