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40"/>
        </w:rPr>
        <w:br/>
        <w:br/>
        <w:br/>
        <w:br/>
        <w:t>ASSIGNMENT</w:t>
        <w:br/>
      </w:r>
      <w:r>
        <w:rPr>
          <w:rFonts w:ascii="Times New Roman" w:hAnsi="Times New Roman" w:eastAsia="Times New Roman"/>
          <w:b w:val="0"/>
          <w:i w:val="0"/>
          <w:sz w:val="32"/>
        </w:rPr>
        <w:t>ON</w:t>
        <w:br/>
      </w:r>
      <w:r>
        <w:rPr>
          <w:rFonts w:ascii="Times New Roman" w:hAnsi="Times New Roman" w:eastAsia="Times New Roman"/>
          <w:b/>
          <w:i w:val="0"/>
          <w:sz w:val="36"/>
        </w:rPr>
        <w:t>THE BHARATIYA NYAYA SANHITA 2023</w:t>
        <w:br/>
        <w:br/>
      </w:r>
      <w:r>
        <w:rPr>
          <w:rFonts w:ascii="Times New Roman" w:hAnsi="Times New Roman" w:eastAsia="Times New Roman"/>
          <w:b w:val="0"/>
          <w:i w:val="0"/>
          <w:sz w:val="32"/>
        </w:rPr>
        <w:t>Topic:</w:t>
        <w:br/>
      </w:r>
      <w:r>
        <w:rPr>
          <w:rFonts w:ascii="Times New Roman" w:hAnsi="Times New Roman" w:eastAsia="Times New Roman"/>
          <w:b/>
          <w:i w:val="0"/>
          <w:sz w:val="36"/>
        </w:rPr>
        <w:t>Mob Lynching: Legal Recognition and Punishment under Bharatiya Nyaya Sanhita</w:t>
        <w:br/>
        <w:br/>
        <w:br/>
      </w:r>
    </w:p>
    <w:p>
      <w:pPr>
        <w:jc w:val="center"/>
      </w:pPr>
      <w:r>
        <w:rPr>
          <w:rFonts w:ascii="Times New Roman" w:hAnsi="Times New Roman" w:eastAsia="Times New Roman"/>
          <w:b w:val="0"/>
          <w:i w:val="0"/>
          <w:sz w:val="28"/>
        </w:rPr>
        <w:t>Submitted by:</w:t>
        <w:br/>
      </w:r>
      <w:r>
        <w:rPr>
          <w:rFonts w:ascii="Times New Roman" w:hAnsi="Times New Roman" w:eastAsia="Times New Roman"/>
          <w:b/>
          <w:i w:val="0"/>
          <w:sz w:val="28"/>
        </w:rPr>
        <w:t>Name: [Your Name Here]</w:t>
        <w:br/>
      </w:r>
      <w:r>
        <w:rPr>
          <w:rFonts w:ascii="Times New Roman" w:hAnsi="Times New Roman" w:eastAsia="Times New Roman"/>
          <w:b/>
          <w:i w:val="0"/>
          <w:sz w:val="28"/>
        </w:rPr>
        <w:t>Roll No: [Roll No]</w:t>
        <w:br/>
      </w:r>
      <w:r>
        <w:rPr>
          <w:rFonts w:ascii="Times New Roman" w:hAnsi="Times New Roman" w:eastAsia="Times New Roman"/>
          <w:b/>
          <w:i w:val="0"/>
          <w:sz w:val="28"/>
        </w:rPr>
        <w:t>Div: [Division]</w:t>
        <w:br/>
        <w:br/>
      </w:r>
      <w:r>
        <w:rPr>
          <w:rFonts w:ascii="Times New Roman" w:hAnsi="Times New Roman" w:eastAsia="Times New Roman"/>
          <w:b w:val="0"/>
          <w:i w:val="0"/>
          <w:sz w:val="28"/>
        </w:rPr>
        <w:t>Submitted to:</w:t>
        <w:br/>
      </w:r>
      <w:r>
        <w:rPr>
          <w:rFonts w:ascii="Times New Roman" w:hAnsi="Times New Roman" w:eastAsia="Times New Roman"/>
          <w:b/>
          <w:i w:val="0"/>
          <w:sz w:val="28"/>
        </w:rPr>
        <w:t>[Professor Name]</w:t>
        <w:br/>
        <w:br/>
      </w:r>
      <w:r>
        <w:rPr>
          <w:rFonts w:ascii="Times New Roman" w:hAnsi="Times New Roman" w:eastAsia="Times New Roman"/>
          <w:b w:val="0"/>
          <w:i w:val="0"/>
          <w:sz w:val="28"/>
        </w:rPr>
        <w:t>Class:</w:t>
        <w:br/>
      </w:r>
      <w:r>
        <w:rPr>
          <w:rFonts w:ascii="Times New Roman" w:hAnsi="Times New Roman" w:eastAsia="Times New Roman"/>
          <w:b/>
          <w:i w:val="0"/>
          <w:sz w:val="28"/>
        </w:rPr>
        <w:t>Third Year BA LLB (Semester VI)</w:t>
        <w:br/>
        <w:t>(A.Y-2025-26)</w:t>
        <w:br/>
        <w:br/>
      </w:r>
    </w:p>
    <w:p>
      <w:r>
        <w:br w:type="page"/>
      </w:r>
    </w:p>
    <w:p>
      <w:pPr>
        <w:jc w:val="center"/>
      </w:pPr>
      <w:r>
        <w:rPr>
          <w:rFonts w:ascii="Times New Roman" w:hAnsi="Times New Roman" w:eastAsia="Times New Roman"/>
          <w:b/>
          <w:i w:val="0"/>
          <w:sz w:val="32"/>
        </w:rPr>
        <w:t>Mob Lynching: Legal Recognition and Punishment under Bharatiya Nyaya Sanhita 2023</w:t>
      </w:r>
    </w:p>
    <w:p>
      <w:pPr>
        <w:spacing w:line="360" w:lineRule="auto" w:after="240"/>
        <w:jc w:val="both"/>
      </w:pPr>
      <w:r>
        <w:rPr>
          <w:rFonts w:ascii="Times New Roman" w:hAnsi="Times New Roman" w:eastAsia="Times New Roman"/>
          <w:b w:val="0"/>
          <w:i w:val="0"/>
          <w:sz w:val="28"/>
        </w:rPr>
        <w:t>Introduction</w:t>
      </w:r>
    </w:p>
    <w:p>
      <w:pPr>
        <w:spacing w:line="360" w:lineRule="auto" w:after="240"/>
        <w:jc w:val="both"/>
      </w:pPr>
      <w:r>
        <w:rPr>
          <w:rFonts w:ascii="Times New Roman" w:hAnsi="Times New Roman" w:eastAsia="Times New Roman"/>
          <w:b w:val="0"/>
          <w:i w:val="0"/>
          <w:sz w:val="28"/>
        </w:rPr>
        <w:t>The transition from the Indian Penal Code (IPC), 1860 to the Bharatiya Nyaya Sanhita (BNS), 2023 represents more than just a legislative update; it signifies a fundamental shift in how the Indian state perceives collective violence. For over a century, the crime of mob lynching existed in a legal grey area, often prosecuted under generic murder statutes that failed to capture the terror of vigilantism. The BNS, effective from July 2024, finally pierces this veil by institutionalizing specific penalties for mob-led executions. This change is not merely procedural but is a direct response to the growing demand for accountability in cases where the 'mob' becomes a weapon of prejudice.</w:t>
      </w:r>
    </w:p>
    <w:p>
      <w:pPr>
        <w:spacing w:line="360" w:lineRule="auto" w:after="240"/>
        <w:jc w:val="both"/>
      </w:pPr>
      <w:r>
        <w:rPr>
          <w:rFonts w:ascii="Times New Roman" w:hAnsi="Times New Roman" w:eastAsia="Times New Roman"/>
          <w:b w:val="0"/>
          <w:i w:val="0"/>
          <w:sz w:val="28"/>
        </w:rPr>
        <w:t>Legal Framework and Recognition</w:t>
      </w:r>
    </w:p>
    <w:p>
      <w:pPr>
        <w:spacing w:line="360" w:lineRule="auto" w:after="240"/>
        <w:jc w:val="both"/>
      </w:pPr>
      <w:r>
        <w:rPr>
          <w:rFonts w:ascii="Times New Roman" w:hAnsi="Times New Roman" w:eastAsia="Times New Roman"/>
          <w:b w:val="0"/>
          <w:i w:val="0"/>
          <w:sz w:val="28"/>
        </w:rPr>
        <w:t>At the heart of this legal reform is Section 103(2) of the BNS. This provision is innovative because it introduces the concept of five or more perpetrators acting in concert as a distinct category of offenders when the crime is driven by identity-based hatred. Whether motivated by caste, language, personal beliefs, or community differences, the law now expressly targets the 'common intention' of a prejudiced group. By doing so, it dismantles the defense of anonymity that mob members often misused. The statute ensures that when a life is taken by a crowd, the collective guilt is shared equally among all participants, leaving no room for individuals to hide behind the actions of the many.</w:t>
      </w:r>
    </w:p>
    <w:p>
      <w:pPr>
        <w:spacing w:line="360" w:lineRule="auto" w:after="240"/>
        <w:jc w:val="both"/>
      </w:pPr>
      <w:r>
        <w:rPr>
          <w:rFonts w:ascii="Times New Roman" w:hAnsi="Times New Roman" w:eastAsia="Times New Roman"/>
          <w:b w:val="0"/>
          <w:i w:val="0"/>
          <w:sz w:val="28"/>
        </w:rPr>
        <w:t>Penal Measures and Deterrence</w:t>
      </w:r>
    </w:p>
    <w:p>
      <w:pPr>
        <w:spacing w:line="360" w:lineRule="auto" w:after="240"/>
        <w:jc w:val="both"/>
      </w:pPr>
      <w:r>
        <w:rPr>
          <w:rFonts w:ascii="Times New Roman" w:hAnsi="Times New Roman" w:eastAsia="Times New Roman"/>
          <w:b w:val="0"/>
          <w:i w:val="0"/>
          <w:sz w:val="28"/>
        </w:rPr>
        <w:t>The punitive measures introduced are uncompromising, reflecting the state's zero-tolerance policy. Section 103(2) mandates that every individual convicted of this offense faces either imprisonment for life or the death penalty, along with a mandatory fine. This effectively places mob lynching on par with the most severe crimes against the state and humanity. Additionally, the legislation displays foresight by including Section 117(4), which covers instances of grievous harm that do not result in death. Offenders in such cases face up to seven years of incarceration. This dual-layered approach ensures that the machinery of justice is equipped to handle both fatal and non-fatal manifestations of mob violence.</w:t>
      </w:r>
    </w:p>
    <w:p>
      <w:pPr>
        <w:spacing w:line="360" w:lineRule="auto" w:after="240"/>
        <w:jc w:val="both"/>
      </w:pPr>
      <w:r>
        <w:rPr>
          <w:rFonts w:ascii="Times New Roman" w:hAnsi="Times New Roman" w:eastAsia="Times New Roman"/>
          <w:b w:val="0"/>
          <w:i w:val="0"/>
          <w:sz w:val="28"/>
        </w:rPr>
        <w:t>Conclusion</w:t>
      </w:r>
    </w:p>
    <w:p>
      <w:pPr>
        <w:spacing w:line="360" w:lineRule="auto" w:after="240"/>
        <w:jc w:val="both"/>
      </w:pPr>
      <w:r>
        <w:rPr>
          <w:rFonts w:ascii="Times New Roman" w:hAnsi="Times New Roman" w:eastAsia="Times New Roman"/>
          <w:b w:val="0"/>
          <w:i w:val="0"/>
          <w:sz w:val="28"/>
        </w:rPr>
        <w:t>In conclusion, the Bharatiya Nyaya Sanhita, 2023, stands as a bulwark against the normalization of mob justice. By replacing the antiquated IPC framework with modern, specific provisions, strict liability is established for hate crimes. The rigorous punishments prescribed serve as a stern warning that the rule of law will always supersede the rule of the mob. This legislative evolution is crucial for preserving the democratic ethos of India, ensuring that the diversity of the nation is protected by the iron hand of the law.</w:t>
      </w:r>
    </w:p>
    <w:p>
      <w:r>
        <w:br w:type="page"/>
      </w:r>
    </w:p>
    <w:p>
      <w:pPr>
        <w:jc w:val="left"/>
      </w:pPr>
      <w:r>
        <w:rPr>
          <w:rFonts w:ascii="Times New Roman" w:hAnsi="Times New Roman" w:eastAsia="Times New Roman"/>
          <w:b/>
          <w:i w:val="0"/>
          <w:sz w:val="28"/>
        </w:rPr>
        <w:t>References</w:t>
      </w:r>
    </w:p>
    <w:p>
      <w:pPr>
        <w:spacing w:line="240" w:lineRule="auto" w:after="120"/>
      </w:pPr>
      <w:r>
        <w:rPr>
          <w:rFonts w:ascii="Times New Roman" w:hAnsi="Times New Roman" w:eastAsia="Times New Roman"/>
          <w:b w:val="0"/>
          <w:i w:val="0"/>
          <w:sz w:val="24"/>
        </w:rPr>
        <w:t xml:space="preserve">[1] Section 103, The Bharatiya Nyaya Sanhita, 2023 (Act No. 45 of 2023). </w:t>
      </w:r>
      <w:hyperlink r:id="rId9">
        <w:r>
          <w:rPr/>
          <w:t>[View Source]</w:t>
        </w:r>
      </w:hyperlink>
    </w:p>
    <w:p>
      <w:pPr>
        <w:spacing w:line="240" w:lineRule="auto" w:after="120"/>
      </w:pPr>
      <w:r>
        <w:rPr>
          <w:rFonts w:ascii="Times New Roman" w:hAnsi="Times New Roman" w:eastAsia="Times New Roman"/>
          <w:b w:val="0"/>
          <w:i w:val="0"/>
          <w:sz w:val="24"/>
        </w:rPr>
        <w:t xml:space="preserve">[2] Ibid, Section 103(2). </w:t>
      </w:r>
    </w:p>
    <w:p>
      <w:pPr>
        <w:spacing w:line="240" w:lineRule="auto" w:after="120"/>
      </w:pPr>
      <w:r>
        <w:rPr>
          <w:rFonts w:ascii="Times New Roman" w:hAnsi="Times New Roman" w:eastAsia="Times New Roman"/>
          <w:b w:val="0"/>
          <w:i w:val="0"/>
          <w:sz w:val="24"/>
        </w:rPr>
        <w:t xml:space="preserve">[3] Section 117(4), The Bharatiya Nyaya Sanhita, 2023. </w:t>
      </w:r>
      <w:hyperlink r:id="rId10">
        <w:r>
          <w:rPr/>
          <w:t>[View Source]</w:t>
        </w:r>
      </w:hyperlink>
    </w:p>
    <w:p>
      <w:pPr>
        <w:spacing w:line="240" w:lineRule="auto" w:after="120"/>
      </w:pPr>
      <w:r>
        <w:rPr>
          <w:rFonts w:ascii="Times New Roman" w:hAnsi="Times New Roman" w:eastAsia="Times New Roman"/>
          <w:b w:val="0"/>
          <w:i w:val="0"/>
          <w:sz w:val="24"/>
        </w:rPr>
        <w:t xml:space="preserve">[4] PRS Legislative Research, 'The Bharatiya Nyaya Sanhita, 2023 Bill Summary'. </w:t>
      </w:r>
      <w:hyperlink r:id="rId10">
        <w:r>
          <w:rPr/>
          <w:t>[View Source]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21033/1/the_bharatiya_nyaya_sanhita%2C_2023.pdf" TargetMode="External"/><Relationship Id="rId10" Type="http://schemas.openxmlformats.org/officeDocument/2006/relationships/hyperlink" Target="https://prsindia.org/billtrack/the-bharatiya-nyaya-sanhita-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