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40"/>
        </w:rPr>
        <w:br/>
        <w:br/>
        <w:br/>
        <w:br/>
        <w:t>ASSIGNMENT</w:t>
        <w:br/>
      </w:r>
      <w:r>
        <w:rPr>
          <w:rFonts w:ascii="Times New Roman" w:hAnsi="Times New Roman" w:eastAsia="Times New Roman"/>
          <w:b w:val="0"/>
          <w:i w:val="0"/>
          <w:sz w:val="32"/>
        </w:rPr>
        <w:t>ON</w:t>
        <w:br/>
      </w:r>
      <w:r>
        <w:rPr>
          <w:rFonts w:ascii="Times New Roman" w:hAnsi="Times New Roman" w:eastAsia="Times New Roman"/>
          <w:b/>
          <w:i w:val="0"/>
          <w:sz w:val="36"/>
        </w:rPr>
        <w:t>THE BHARATIYA NYAYA SANHITA 2023</w:t>
        <w:br/>
        <w:br/>
      </w:r>
      <w:r>
        <w:rPr>
          <w:rFonts w:ascii="Times New Roman" w:hAnsi="Times New Roman" w:eastAsia="Times New Roman"/>
          <w:b w:val="0"/>
          <w:i w:val="0"/>
          <w:sz w:val="32"/>
        </w:rPr>
        <w:t>Topic:</w:t>
        <w:br/>
      </w:r>
      <w:r>
        <w:rPr>
          <w:rFonts w:ascii="Times New Roman" w:hAnsi="Times New Roman" w:eastAsia="Times New Roman"/>
          <w:b/>
          <w:i w:val="0"/>
          <w:sz w:val="36"/>
        </w:rPr>
        <w:t>Mob Lynching: Legal Recognition and Punishment under Bharatiya Nyaya Sanhita</w:t>
        <w:br/>
        <w:br/>
        <w:br/>
      </w:r>
    </w:p>
    <w:p>
      <w:pPr>
        <w:jc w:val="center"/>
      </w:pPr>
      <w:r>
        <w:rPr>
          <w:rFonts w:ascii="Times New Roman" w:hAnsi="Times New Roman" w:eastAsia="Times New Roman"/>
          <w:b w:val="0"/>
          <w:i w:val="0"/>
          <w:sz w:val="28"/>
        </w:rPr>
        <w:t>Submitted by:</w:t>
        <w:br/>
      </w:r>
      <w:r>
        <w:rPr>
          <w:rFonts w:ascii="Times New Roman" w:hAnsi="Times New Roman" w:eastAsia="Times New Roman"/>
          <w:b/>
          <w:i w:val="0"/>
          <w:sz w:val="28"/>
        </w:rPr>
        <w:t>Name: [Your Name Here]</w:t>
        <w:br/>
      </w:r>
      <w:r>
        <w:rPr>
          <w:rFonts w:ascii="Times New Roman" w:hAnsi="Times New Roman" w:eastAsia="Times New Roman"/>
          <w:b/>
          <w:i w:val="0"/>
          <w:sz w:val="28"/>
        </w:rPr>
        <w:t>Roll No: [Roll No]</w:t>
        <w:br/>
      </w:r>
      <w:r>
        <w:rPr>
          <w:rFonts w:ascii="Times New Roman" w:hAnsi="Times New Roman" w:eastAsia="Times New Roman"/>
          <w:b/>
          <w:i w:val="0"/>
          <w:sz w:val="28"/>
        </w:rPr>
        <w:t>Div: [Division]</w:t>
        <w:br/>
        <w:br/>
      </w:r>
      <w:r>
        <w:rPr>
          <w:rFonts w:ascii="Times New Roman" w:hAnsi="Times New Roman" w:eastAsia="Times New Roman"/>
          <w:b w:val="0"/>
          <w:i w:val="0"/>
          <w:sz w:val="28"/>
        </w:rPr>
        <w:t>Submitted to:</w:t>
        <w:br/>
      </w:r>
      <w:r>
        <w:rPr>
          <w:rFonts w:ascii="Times New Roman" w:hAnsi="Times New Roman" w:eastAsia="Times New Roman"/>
          <w:b/>
          <w:i w:val="0"/>
          <w:sz w:val="28"/>
        </w:rPr>
        <w:t>[Professor Name]</w:t>
        <w:br/>
        <w:br/>
      </w:r>
      <w:r>
        <w:rPr>
          <w:rFonts w:ascii="Times New Roman" w:hAnsi="Times New Roman" w:eastAsia="Times New Roman"/>
          <w:b w:val="0"/>
          <w:i w:val="0"/>
          <w:sz w:val="28"/>
        </w:rPr>
        <w:t>Class:</w:t>
        <w:br/>
      </w:r>
      <w:r>
        <w:rPr>
          <w:rFonts w:ascii="Times New Roman" w:hAnsi="Times New Roman" w:eastAsia="Times New Roman"/>
          <w:b/>
          <w:i w:val="0"/>
          <w:sz w:val="28"/>
        </w:rPr>
        <w:t>Third Year BA LLB (Semester VI)</w:t>
        <w:br/>
        <w:t>(A.Y-2025-26)</w:t>
        <w:br/>
        <w:br/>
      </w:r>
    </w:p>
    <w:p>
      <w:r>
        <w:br w:type="page"/>
      </w:r>
    </w:p>
    <w:p>
      <w:pPr>
        <w:jc w:val="center"/>
      </w:pPr>
      <w:r>
        <w:rPr>
          <w:rFonts w:ascii="Times New Roman" w:hAnsi="Times New Roman" w:eastAsia="Times New Roman"/>
          <w:b/>
          <w:i w:val="0"/>
          <w:sz w:val="32"/>
        </w:rPr>
        <w:t>Mob Lynching: Legal Recognition and Punishment under Bharatiya Nyaya Sanhita 2023</w:t>
      </w:r>
    </w:p>
    <w:p>
      <w:pPr>
        <w:spacing w:line="360" w:lineRule="auto" w:after="240"/>
        <w:jc w:val="both"/>
      </w:pPr>
      <w:r>
        <w:rPr>
          <w:rFonts w:ascii="Times New Roman" w:hAnsi="Times New Roman" w:eastAsia="Times New Roman"/>
          <w:b w:val="0"/>
          <w:i w:val="0"/>
          <w:sz w:val="28"/>
        </w:rPr>
        <w:t>Introduction</w:t>
      </w:r>
    </w:p>
    <w:p>
      <w:pPr>
        <w:spacing w:line="360" w:lineRule="auto" w:after="240"/>
        <w:jc w:val="both"/>
      </w:pPr>
      <w:r>
        <w:rPr>
          <w:rFonts w:ascii="Times New Roman" w:hAnsi="Times New Roman" w:eastAsia="Times New Roman"/>
          <w:b w:val="0"/>
          <w:i w:val="0"/>
          <w:sz w:val="28"/>
        </w:rPr>
        <w:t>For decades, India struggled with a weird legal gap. We saw mobs attacking people, but there wasn't a specific law to punish the 'mob' itself. The police just used the normal murder sections from the old IPC (Indian Penal Code), which didn't really work well because pinning the exact blame on a chaotic crowd is a nightmare. But things changed effectively from July 2024. The new Bharatiya Nyaya Sanhita (BNS) came into the picture, and it finally calls out mob lynching for what it actually is. It is not just a riot; it is a specific kind of hate crime that needed its own rule.</w:t>
      </w:r>
    </w:p>
    <w:p>
      <w:pPr>
        <w:spacing w:line="360" w:lineRule="auto" w:after="240"/>
        <w:jc w:val="both"/>
      </w:pPr>
      <w:r>
        <w:rPr>
          <w:rFonts w:ascii="Times New Roman" w:hAnsi="Times New Roman" w:eastAsia="Times New Roman"/>
          <w:b w:val="0"/>
          <w:i w:val="0"/>
          <w:sz w:val="28"/>
        </w:rPr>
        <w:t>Legal Recognition under Section 103(2)</w:t>
      </w:r>
    </w:p>
    <w:p>
      <w:pPr>
        <w:spacing w:line="360" w:lineRule="auto" w:after="240"/>
        <w:jc w:val="both"/>
      </w:pPr>
      <w:r>
        <w:rPr>
          <w:rFonts w:ascii="Times New Roman" w:hAnsi="Times New Roman" w:eastAsia="Times New Roman"/>
          <w:b w:val="0"/>
          <w:i w:val="0"/>
          <w:sz w:val="28"/>
        </w:rPr>
        <w:t>So, how does the new law handle it? Specifically, look at Section 103(2). It basically says if you have a group—five people or more—and they kill someone based on stuff like caste, language, race, or even personal beliefs, they are all guilty. It treats them as a single unit. This is the game-changer. Before this, people in a mob could claim they were just 'standing there' or didn't strike the fatal blow. The BNS removes that excuse. If you are part of that group acting together with the same intention, you are responsible for the murder. Period.</w:t>
      </w:r>
    </w:p>
    <w:p>
      <w:pPr>
        <w:spacing w:line="360" w:lineRule="auto" w:after="240"/>
        <w:jc w:val="both"/>
      </w:pPr>
      <w:r>
        <w:rPr>
          <w:rFonts w:ascii="Times New Roman" w:hAnsi="Times New Roman" w:eastAsia="Times New Roman"/>
          <w:b w:val="0"/>
          <w:i w:val="0"/>
          <w:sz w:val="28"/>
        </w:rPr>
        <w:t>Punishment and Deterrence</w:t>
      </w:r>
    </w:p>
    <w:p>
      <w:pPr>
        <w:spacing w:line="360" w:lineRule="auto" w:after="240"/>
        <w:jc w:val="both"/>
      </w:pPr>
      <w:r>
        <w:rPr>
          <w:rFonts w:ascii="Times New Roman" w:hAnsi="Times New Roman" w:eastAsia="Times New Roman"/>
          <w:b w:val="0"/>
          <w:i w:val="0"/>
          <w:sz w:val="28"/>
        </w:rPr>
        <w:t>The consequences are surprisingly serious now. The law doesn't go easy on this at all. Under Section 103(2), the punishment is either life imprisonment or the death penalty, plus a fine. It puts lynching right up there with the worst crimes possible. And it’s not just about killing, either. Section 117(4) covers cases where the victim survives but gets badly hurt (what the law calls 'grievous hurt'). Even then, the jail time can go up to seven years. So, whether the victim dies or gets maimed, the law now has a specific section to catch the attackers.</w:t>
      </w:r>
    </w:p>
    <w:p>
      <w:pPr>
        <w:spacing w:line="360" w:lineRule="auto" w:after="240"/>
        <w:jc w:val="both"/>
      </w:pPr>
      <w:r>
        <w:rPr>
          <w:rFonts w:ascii="Times New Roman" w:hAnsi="Times New Roman" w:eastAsia="Times New Roman"/>
          <w:b w:val="0"/>
          <w:i w:val="0"/>
          <w:sz w:val="28"/>
        </w:rPr>
        <w:t>Conclusion</w:t>
      </w:r>
    </w:p>
    <w:p>
      <w:pPr>
        <w:spacing w:line="360" w:lineRule="auto" w:after="240"/>
        <w:jc w:val="both"/>
      </w:pPr>
      <w:r>
        <w:rPr>
          <w:rFonts w:ascii="Times New Roman" w:hAnsi="Times New Roman" w:eastAsia="Times New Roman"/>
          <w:b w:val="0"/>
          <w:i w:val="0"/>
          <w:sz w:val="28"/>
        </w:rPr>
        <w:t>Honestly, this was long overdue. Replacing the British-era IPC with the BNS shows that our legal system is finally waking up to modern problems. By explicitly threatening the death penalty and life jail terms, the message is super clear: mob rule is over. It gives the courts the right tools to actually punish these groups, instead of letting them slip away due to technicalities. It is a massive step for protecting people’s rights and stopping vigilantism.</w:t>
      </w:r>
    </w:p>
    <w:p>
      <w:r>
        <w:br w:type="page"/>
      </w:r>
    </w:p>
    <w:p>
      <w:pPr>
        <w:jc w:val="left"/>
      </w:pPr>
      <w:r>
        <w:rPr>
          <w:rFonts w:ascii="Times New Roman" w:hAnsi="Times New Roman" w:eastAsia="Times New Roman"/>
          <w:b/>
          <w:i w:val="0"/>
          <w:sz w:val="28"/>
        </w:rPr>
        <w:t>References</w:t>
      </w:r>
    </w:p>
    <w:p>
      <w:pPr>
        <w:spacing w:line="240" w:lineRule="auto" w:after="120"/>
      </w:pPr>
      <w:r>
        <w:rPr>
          <w:rFonts w:ascii="Times New Roman" w:hAnsi="Times New Roman" w:eastAsia="Times New Roman"/>
          <w:b w:val="0"/>
          <w:i w:val="0"/>
          <w:sz w:val="24"/>
        </w:rPr>
        <w:t xml:space="preserve">[1] Section 103, The Bharatiya Nyaya Sanhita, 2023 (Act No. 45 of 2023). </w:t>
      </w:r>
      <w:hyperlink r:id="rId9">
        <w:r>
          <w:rPr/>
          <w:t>[View Source]</w:t>
        </w:r>
      </w:hyperlink>
    </w:p>
    <w:p>
      <w:pPr>
        <w:spacing w:line="240" w:lineRule="auto" w:after="120"/>
      </w:pPr>
      <w:r>
        <w:rPr>
          <w:rFonts w:ascii="Times New Roman" w:hAnsi="Times New Roman" w:eastAsia="Times New Roman"/>
          <w:b w:val="0"/>
          <w:i w:val="0"/>
          <w:sz w:val="24"/>
        </w:rPr>
        <w:t xml:space="preserve">[2] Ibid, Section 103(2). </w:t>
      </w:r>
    </w:p>
    <w:p>
      <w:pPr>
        <w:spacing w:line="240" w:lineRule="auto" w:after="120"/>
      </w:pPr>
      <w:r>
        <w:rPr>
          <w:rFonts w:ascii="Times New Roman" w:hAnsi="Times New Roman" w:eastAsia="Times New Roman"/>
          <w:b w:val="0"/>
          <w:i w:val="0"/>
          <w:sz w:val="24"/>
        </w:rPr>
        <w:t xml:space="preserve">[3] Section 117(4), The Bharatiya Nyaya Sanhita, 2023. </w:t>
      </w:r>
      <w:hyperlink r:id="rId10">
        <w:r>
          <w:rPr/>
          <w:t>[View Source]</w:t>
        </w:r>
      </w:hyperlink>
    </w:p>
    <w:p>
      <w:pPr>
        <w:spacing w:line="240" w:lineRule="auto" w:after="120"/>
      </w:pPr>
      <w:r>
        <w:rPr>
          <w:rFonts w:ascii="Times New Roman" w:hAnsi="Times New Roman" w:eastAsia="Times New Roman"/>
          <w:b w:val="0"/>
          <w:i w:val="0"/>
          <w:sz w:val="24"/>
        </w:rPr>
        <w:t xml:space="preserve">[4] PRS Legislative Research, 'The Bharatiya Nyaya Sanhita, 2023 Bill Summary'. </w:t>
      </w:r>
      <w:hyperlink r:id="rId10">
        <w:r>
          <w:rPr/>
          <w:t>[View Source]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bitstream/123456789/21033/1/the_bharatiya_nyaya_sanhita%2C_2023.pdf" TargetMode="External"/><Relationship Id="rId10" Type="http://schemas.openxmlformats.org/officeDocument/2006/relationships/hyperlink" Target="https://prsindia.org/billtrack/the-bharatiya-nyaya-sanhita-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