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40"/>
        </w:rPr>
        <w:br/>
        <w:br/>
        <w:br/>
        <w:br/>
        <w:t>ASSIGNMENT</w:t>
        <w:br/>
      </w:r>
      <w:r>
        <w:rPr>
          <w:rFonts w:ascii="Times New Roman" w:hAnsi="Times New Roman" w:eastAsia="Times New Roman"/>
          <w:b w:val="0"/>
          <w:i w:val="0"/>
          <w:sz w:val="32"/>
        </w:rPr>
        <w:t>ON</w:t>
        <w:br/>
      </w:r>
      <w:r>
        <w:rPr>
          <w:rFonts w:ascii="Times New Roman" w:hAnsi="Times New Roman" w:eastAsia="Times New Roman"/>
          <w:b/>
          <w:i w:val="0"/>
          <w:sz w:val="36"/>
        </w:rPr>
        <w:t>THE BHARATIYA NYAYA SANHITA 2023</w:t>
        <w:br/>
        <w:br/>
      </w:r>
      <w:r>
        <w:rPr>
          <w:rFonts w:ascii="Times New Roman" w:hAnsi="Times New Roman" w:eastAsia="Times New Roman"/>
          <w:b w:val="0"/>
          <w:i w:val="0"/>
          <w:sz w:val="32"/>
        </w:rPr>
        <w:t>Topic:</w:t>
        <w:br/>
      </w:r>
      <w:r>
        <w:rPr>
          <w:rFonts w:ascii="Times New Roman" w:hAnsi="Times New Roman" w:eastAsia="Times New Roman"/>
          <w:b/>
          <w:i w:val="0"/>
          <w:sz w:val="36"/>
        </w:rPr>
        <w:t>Mob Lynching: Legal Recognition and Punishment under Bharatiya Nyaya Sanhita</w:t>
        <w:br/>
        <w:br/>
        <w:br/>
      </w:r>
    </w:p>
    <w:p>
      <w:pPr>
        <w:jc w:val="center"/>
      </w:pPr>
      <w:r>
        <w:rPr>
          <w:rFonts w:ascii="Times New Roman" w:hAnsi="Times New Roman" w:eastAsia="Times New Roman"/>
          <w:b w:val="0"/>
          <w:i w:val="0"/>
          <w:sz w:val="28"/>
        </w:rPr>
        <w:t>Submitted by:</w:t>
        <w:br/>
      </w:r>
      <w:r>
        <w:rPr>
          <w:rFonts w:ascii="Times New Roman" w:hAnsi="Times New Roman" w:eastAsia="Times New Roman"/>
          <w:b/>
          <w:i w:val="0"/>
          <w:sz w:val="28"/>
        </w:rPr>
        <w:t>Name: [Your Name Here]</w:t>
        <w:br/>
      </w:r>
      <w:r>
        <w:rPr>
          <w:rFonts w:ascii="Times New Roman" w:hAnsi="Times New Roman" w:eastAsia="Times New Roman"/>
          <w:b/>
          <w:i w:val="0"/>
          <w:sz w:val="28"/>
        </w:rPr>
        <w:t>Roll No: [Roll No]</w:t>
        <w:br/>
      </w:r>
      <w:r>
        <w:rPr>
          <w:rFonts w:ascii="Times New Roman" w:hAnsi="Times New Roman" w:eastAsia="Times New Roman"/>
          <w:b/>
          <w:i w:val="0"/>
          <w:sz w:val="28"/>
        </w:rPr>
        <w:t>Div: [Division]</w:t>
        <w:br/>
        <w:br/>
      </w:r>
      <w:r>
        <w:rPr>
          <w:rFonts w:ascii="Times New Roman" w:hAnsi="Times New Roman" w:eastAsia="Times New Roman"/>
          <w:b w:val="0"/>
          <w:i w:val="0"/>
          <w:sz w:val="28"/>
        </w:rPr>
        <w:t>Submitted to:</w:t>
        <w:br/>
      </w:r>
      <w:r>
        <w:rPr>
          <w:rFonts w:ascii="Times New Roman" w:hAnsi="Times New Roman" w:eastAsia="Times New Roman"/>
          <w:b/>
          <w:i w:val="0"/>
          <w:sz w:val="28"/>
        </w:rPr>
        <w:t>[Professor Name]</w:t>
        <w:br/>
        <w:br/>
      </w:r>
      <w:r>
        <w:rPr>
          <w:rFonts w:ascii="Times New Roman" w:hAnsi="Times New Roman" w:eastAsia="Times New Roman"/>
          <w:b w:val="0"/>
          <w:i w:val="0"/>
          <w:sz w:val="28"/>
        </w:rPr>
        <w:t>Class:</w:t>
        <w:br/>
      </w:r>
      <w:r>
        <w:rPr>
          <w:rFonts w:ascii="Times New Roman" w:hAnsi="Times New Roman" w:eastAsia="Times New Roman"/>
          <w:b/>
          <w:i w:val="0"/>
          <w:sz w:val="28"/>
        </w:rPr>
        <w:t>Third Year BA LLB (Semester VI)</w:t>
        <w:br/>
        <w:t>(A.Y-2025-26)</w:t>
        <w:br/>
        <w:br/>
      </w:r>
    </w:p>
    <w:p>
      <w:r>
        <w:br w:type="page"/>
      </w:r>
    </w:p>
    <w:p>
      <w:pPr>
        <w:jc w:val="center"/>
      </w:pPr>
      <w:r>
        <w:rPr>
          <w:rFonts w:ascii="Times New Roman" w:hAnsi="Times New Roman" w:eastAsia="Times New Roman"/>
          <w:b/>
          <w:i w:val="0"/>
          <w:sz w:val="32"/>
        </w:rPr>
        <w:t>Mob Lynching: Legal Recognition and Punishment under Bharatiya Nyaya Sanhita 2023</w:t>
      </w:r>
    </w:p>
    <w:p>
      <w:pPr>
        <w:spacing w:line="360" w:lineRule="auto" w:after="240"/>
        <w:jc w:val="both"/>
      </w:pPr>
      <w:r>
        <w:rPr>
          <w:rFonts w:ascii="Times New Roman" w:hAnsi="Times New Roman" w:eastAsia="Times New Roman"/>
          <w:b w:val="0"/>
          <w:i w:val="0"/>
          <w:sz w:val="28"/>
        </w:rPr>
        <w:t>Introduction</w:t>
      </w:r>
    </w:p>
    <w:p>
      <w:pPr>
        <w:spacing w:line="360" w:lineRule="auto" w:after="240"/>
        <w:jc w:val="both"/>
      </w:pPr>
      <w:r>
        <w:rPr>
          <w:rFonts w:ascii="Times New Roman" w:hAnsi="Times New Roman" w:eastAsia="Times New Roman"/>
          <w:b w:val="0"/>
          <w:i w:val="0"/>
          <w:sz w:val="28"/>
        </w:rPr>
        <w:t>Mob lynching has been a big problem in India for years, but our old criminal laws, the Indian Penal Code (IPC), never really had a specific rule for it. Police usually had to use normal murder laws, which made it very hard to catch everyone involved in a big, angry crowd. This gap in the law let a lot of people get away with violence. Now, with the new Bharatiya Nyaya Sanhita (BNS) 2023 coming into effect in July 2024, this has finally changed. The new law actually recognizes that mob violence is different from a normal crime and needs to be handled with its own set of rules. It is a major step forward in acknowledging the reality of hate crimes in our society.</w:t>
      </w:r>
    </w:p>
    <w:p>
      <w:pPr>
        <w:spacing w:line="360" w:lineRule="auto" w:after="240"/>
        <w:jc w:val="both"/>
      </w:pPr>
      <w:r>
        <w:rPr>
          <w:rFonts w:ascii="Times New Roman" w:hAnsi="Times New Roman" w:eastAsia="Times New Roman"/>
          <w:b w:val="0"/>
          <w:i w:val="0"/>
          <w:sz w:val="28"/>
        </w:rPr>
        <w:t>Legal Recognition under Section 103(2)</w:t>
      </w:r>
    </w:p>
    <w:p>
      <w:pPr>
        <w:spacing w:line="360" w:lineRule="auto" w:after="240"/>
        <w:jc w:val="both"/>
      </w:pPr>
      <w:r>
        <w:rPr>
          <w:rFonts w:ascii="Times New Roman" w:hAnsi="Times New Roman" w:eastAsia="Times New Roman"/>
          <w:b w:val="0"/>
          <w:i w:val="0"/>
          <w:sz w:val="28"/>
        </w:rPr>
        <w:t>The most important part of this new law is Section 103(2). It clearly says that if a group of five or more people work together to kill someone because of their race, caste, community, language, or even personal beliefs, it will be treated as mob lynching. This is a huge shift from the past. Under the old IPC, it was often difficult to prove who did what in a large crowd, and many attackers got away with it because of 'lack of evidence' against specific individuals. Now, the law uses the concept of 'acting in concert.' This means that every member of that unlawful assembly is equally responsible for the death. It basically stops people from hiding behind the crowd; if you are part of the mob that killed someone, you are considered guilty of the murder.</w:t>
      </w:r>
    </w:p>
    <w:p>
      <w:pPr>
        <w:spacing w:line="360" w:lineRule="auto" w:after="240"/>
        <w:jc w:val="both"/>
      </w:pPr>
      <w:r>
        <w:rPr>
          <w:rFonts w:ascii="Times New Roman" w:hAnsi="Times New Roman" w:eastAsia="Times New Roman"/>
          <w:b w:val="0"/>
          <w:i w:val="0"/>
          <w:sz w:val="28"/>
        </w:rPr>
        <w:t>Punishment and Deterrence</w:t>
      </w:r>
    </w:p>
    <w:p>
      <w:pPr>
        <w:spacing w:line="360" w:lineRule="auto" w:after="240"/>
        <w:jc w:val="both"/>
      </w:pPr>
      <w:r>
        <w:rPr>
          <w:rFonts w:ascii="Times New Roman" w:hAnsi="Times New Roman" w:eastAsia="Times New Roman"/>
          <w:b w:val="0"/>
          <w:i w:val="0"/>
          <w:sz w:val="28"/>
        </w:rPr>
        <w:t>The government knows that strong words aren't enough, so they have set very harsh punishments to scare potential offenders. If a person is found guilty under Section 103(2), they face the most severe penalties allowed in our system: imprisonment for life or even the death penalty, along with a fine. This places mob lynching on the same level as the worst crimes in the country. But the law goes further than just murder cases. It also looks at situations where the victim doesn't die but gets badly injured. Section 117(4) deals with 'grievous hurt' caused by a mob. In these situations, the guilty people can face jail time of up to seven years. This shows that the law is trying to cover all aspects of mob violence, ensuring nobody slips through the cracks.</w:t>
      </w:r>
    </w:p>
    <w:p>
      <w:pPr>
        <w:spacing w:line="360" w:lineRule="auto" w:after="240"/>
        <w:jc w:val="both"/>
      </w:pPr>
      <w:r>
        <w:rPr>
          <w:rFonts w:ascii="Times New Roman" w:hAnsi="Times New Roman" w:eastAsia="Times New Roman"/>
          <w:b w:val="0"/>
          <w:i w:val="0"/>
          <w:sz w:val="28"/>
        </w:rPr>
        <w:t>Conclusion</w:t>
      </w:r>
    </w:p>
    <w:p>
      <w:pPr>
        <w:spacing w:line="360" w:lineRule="auto" w:after="240"/>
        <w:jc w:val="both"/>
      </w:pPr>
      <w:r>
        <w:rPr>
          <w:rFonts w:ascii="Times New Roman" w:hAnsi="Times New Roman" w:eastAsia="Times New Roman"/>
          <w:b w:val="0"/>
          <w:i w:val="0"/>
          <w:sz w:val="28"/>
        </w:rPr>
        <w:t>Overall, the Bharatiya Nyaya Sanhita is a much-needed update for our legal system. By clearly defining mob lynching and setting harsh punishments like the death penalty, it sends a clear message that mob rule won't be tolerated anymore. It gives the courts the power they need to punish these crimes properly without having to rely on vague interpretations of old laws. Hopefully, this strict stance will stop people from taking the law into their own hands and will help protect the rights and safety of every citizen, no matter who they are or where they come from.</w:t>
      </w:r>
    </w:p>
    <w:p>
      <w:r>
        <w:br w:type="page"/>
      </w:r>
    </w:p>
    <w:p>
      <w:pPr>
        <w:jc w:val="left"/>
      </w:pPr>
      <w:r>
        <w:rPr>
          <w:rFonts w:ascii="Times New Roman" w:hAnsi="Times New Roman" w:eastAsia="Times New Roman"/>
          <w:b/>
          <w:i w:val="0"/>
          <w:sz w:val="28"/>
        </w:rPr>
        <w:t>References</w:t>
      </w:r>
    </w:p>
    <w:p>
      <w:pPr>
        <w:spacing w:line="240" w:lineRule="auto" w:after="120"/>
      </w:pPr>
      <w:r>
        <w:rPr>
          <w:rFonts w:ascii="Times New Roman" w:hAnsi="Times New Roman" w:eastAsia="Times New Roman"/>
          <w:b w:val="0"/>
          <w:i w:val="0"/>
          <w:sz w:val="24"/>
        </w:rPr>
        <w:t xml:space="preserve">[1] Section 103, The Bharatiya Nyaya Sanhita, 2023 (Act No. 45 of 2023). </w:t>
      </w:r>
      <w:hyperlink r:id="rId9">
        <w:r>
          <w:rPr/>
          <w:t>[View Source]</w:t>
        </w:r>
      </w:hyperlink>
    </w:p>
    <w:p>
      <w:pPr>
        <w:spacing w:line="240" w:lineRule="auto" w:after="120"/>
      </w:pPr>
      <w:r>
        <w:rPr>
          <w:rFonts w:ascii="Times New Roman" w:hAnsi="Times New Roman" w:eastAsia="Times New Roman"/>
          <w:b w:val="0"/>
          <w:i w:val="0"/>
          <w:sz w:val="24"/>
        </w:rPr>
        <w:t xml:space="preserve">[2] Ibid, Section 103(2). </w:t>
      </w:r>
    </w:p>
    <w:p>
      <w:pPr>
        <w:spacing w:line="240" w:lineRule="auto" w:after="120"/>
      </w:pPr>
      <w:r>
        <w:rPr>
          <w:rFonts w:ascii="Times New Roman" w:hAnsi="Times New Roman" w:eastAsia="Times New Roman"/>
          <w:b w:val="0"/>
          <w:i w:val="0"/>
          <w:sz w:val="24"/>
        </w:rPr>
        <w:t xml:space="preserve">[3] Section 117(4), The Bharatiya Nyaya Sanhita, 2023. </w:t>
      </w:r>
      <w:hyperlink r:id="rId10">
        <w:r>
          <w:rPr/>
          <w:t>[View Source]</w:t>
        </w:r>
      </w:hyperlink>
    </w:p>
    <w:p>
      <w:pPr>
        <w:spacing w:line="240" w:lineRule="auto" w:after="120"/>
      </w:pPr>
      <w:r>
        <w:rPr>
          <w:rFonts w:ascii="Times New Roman" w:hAnsi="Times New Roman" w:eastAsia="Times New Roman"/>
          <w:b w:val="0"/>
          <w:i w:val="0"/>
          <w:sz w:val="24"/>
        </w:rPr>
        <w:t xml:space="preserve">[4] PRS Legislative Research, 'The Bharatiya Nyaya Sanhita, 2023 Bill Summary'. </w:t>
      </w:r>
      <w:hyperlink r:id="rId10">
        <w:r>
          <w:rPr/>
          <w:t>[View Source]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dth=device-width://www.indiacode.nic.in/bitstream/123456789/21033/1/the_bharatiya_nyaya_sanhita%2C_2023.pdf" TargetMode="External"/><Relationship Id="rId10" Type="http://schemas.openxmlformats.org/officeDocument/2006/relationships/hyperlink" Target="https://prsindia.org/billtrack/the-bharatiya-nyaya-sanhita-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