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B4DD8" w14:textId="5F5D3E21" w:rsidR="004044B8" w:rsidRPr="004044B8" w:rsidRDefault="004044B8" w:rsidP="004044B8">
      <w:pPr>
        <w:jc w:val="center"/>
        <w:rPr>
          <w:rFonts w:eastAsia="Times New Roman"/>
          <w:b/>
          <w:sz w:val="32"/>
        </w:rPr>
      </w:pPr>
      <w:r w:rsidRPr="004044B8">
        <w:rPr>
          <w:rFonts w:eastAsia="Times New Roman"/>
          <w:b/>
          <w:noProof/>
          <w:sz w:val="32"/>
        </w:rPr>
        <w:drawing>
          <wp:inline distT="0" distB="0" distL="0" distR="0" wp14:anchorId="1BBF5E89" wp14:editId="1E13241D">
            <wp:extent cx="1676400" cy="1381125"/>
            <wp:effectExtent l="0" t="0" r="0"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6400" cy="1381125"/>
                    </a:xfrm>
                    <a:prstGeom prst="rect">
                      <a:avLst/>
                    </a:prstGeom>
                    <a:noFill/>
                    <a:ln>
                      <a:noFill/>
                    </a:ln>
                  </pic:spPr>
                </pic:pic>
              </a:graphicData>
            </a:graphic>
          </wp:inline>
        </w:drawing>
      </w:r>
    </w:p>
    <w:p w14:paraId="6B74E60D" w14:textId="77777777" w:rsidR="004044B8" w:rsidRDefault="004044B8" w:rsidP="004044B8">
      <w:pPr>
        <w:jc w:val="center"/>
        <w:rPr>
          <w:rFonts w:eastAsia="Times New Roman"/>
          <w:b/>
          <w:sz w:val="32"/>
        </w:rPr>
      </w:pPr>
      <w:r w:rsidRPr="004044B8">
        <w:rPr>
          <w:rFonts w:eastAsia="Times New Roman"/>
          <w:b/>
          <w:sz w:val="32"/>
        </w:rPr>
        <w:t xml:space="preserve">KANDIVLI EDUCATION SOCIETY’S </w:t>
      </w:r>
    </w:p>
    <w:p w14:paraId="2486155D" w14:textId="33374C3F" w:rsidR="004044B8" w:rsidRPr="004044B8" w:rsidRDefault="004044B8" w:rsidP="004044B8">
      <w:pPr>
        <w:jc w:val="center"/>
        <w:rPr>
          <w:rFonts w:eastAsia="Times New Roman"/>
          <w:b/>
          <w:sz w:val="32"/>
        </w:rPr>
      </w:pPr>
      <w:r w:rsidRPr="004044B8">
        <w:rPr>
          <w:rFonts w:eastAsia="Times New Roman"/>
          <w:b/>
          <w:sz w:val="32"/>
        </w:rPr>
        <w:t>SHRI JAYANTILAL H. PATEL LAW COLLEGE</w:t>
      </w:r>
    </w:p>
    <w:p w14:paraId="46EE459C" w14:textId="77777777" w:rsidR="004044B8" w:rsidRPr="004044B8" w:rsidRDefault="004044B8" w:rsidP="004044B8">
      <w:pPr>
        <w:jc w:val="center"/>
        <w:rPr>
          <w:rFonts w:eastAsia="Times New Roman"/>
          <w:b/>
          <w:sz w:val="32"/>
        </w:rPr>
      </w:pPr>
    </w:p>
    <w:p w14:paraId="6D3E0E82" w14:textId="3A064A66" w:rsidR="004044B8" w:rsidRPr="004044B8" w:rsidRDefault="004044B8" w:rsidP="004044B8">
      <w:pPr>
        <w:jc w:val="center"/>
        <w:rPr>
          <w:rFonts w:eastAsia="Times New Roman"/>
          <w:b/>
          <w:sz w:val="32"/>
        </w:rPr>
      </w:pPr>
      <w:r w:rsidRPr="004044B8">
        <w:rPr>
          <w:rFonts w:eastAsia="Times New Roman"/>
          <w:b/>
          <w:sz w:val="32"/>
        </w:rPr>
        <w:t xml:space="preserve">Mob Lynching in India: Statutory Framework under the </w:t>
      </w:r>
      <w:proofErr w:type="spellStart"/>
      <w:r w:rsidRPr="004044B8">
        <w:rPr>
          <w:rFonts w:eastAsia="Times New Roman"/>
          <w:b/>
          <w:sz w:val="32"/>
        </w:rPr>
        <w:t>Bharatiya</w:t>
      </w:r>
      <w:proofErr w:type="spellEnd"/>
      <w:r w:rsidRPr="004044B8">
        <w:rPr>
          <w:rFonts w:eastAsia="Times New Roman"/>
          <w:b/>
          <w:sz w:val="32"/>
        </w:rPr>
        <w:t xml:space="preserve"> Nyaya Sanhita, 2023</w:t>
      </w:r>
    </w:p>
    <w:p w14:paraId="23B9543D" w14:textId="77777777" w:rsidR="004044B8" w:rsidRDefault="004044B8" w:rsidP="004044B8">
      <w:pPr>
        <w:jc w:val="center"/>
        <w:rPr>
          <w:rFonts w:eastAsia="Times New Roman"/>
          <w:b/>
          <w:sz w:val="32"/>
        </w:rPr>
      </w:pPr>
    </w:p>
    <w:p w14:paraId="00BF8C90" w14:textId="30657AC0" w:rsidR="004044B8" w:rsidRPr="004044B8" w:rsidRDefault="004044B8" w:rsidP="004044B8">
      <w:pPr>
        <w:jc w:val="center"/>
        <w:rPr>
          <w:rFonts w:eastAsia="Times New Roman"/>
          <w:b/>
          <w:sz w:val="32"/>
        </w:rPr>
      </w:pPr>
      <w:r w:rsidRPr="004044B8">
        <w:rPr>
          <w:rFonts w:eastAsia="Times New Roman"/>
          <w:b/>
          <w:sz w:val="32"/>
        </w:rPr>
        <w:t xml:space="preserve">A Project submitted in partial fulfilment of the requirements for The </w:t>
      </w:r>
      <w:r>
        <w:rPr>
          <w:rFonts w:eastAsia="Times New Roman"/>
          <w:b/>
          <w:sz w:val="32"/>
        </w:rPr>
        <w:t>Sixth</w:t>
      </w:r>
      <w:r w:rsidRPr="004044B8">
        <w:rPr>
          <w:rFonts w:eastAsia="Times New Roman"/>
          <w:b/>
          <w:sz w:val="32"/>
        </w:rPr>
        <w:t xml:space="preserve"> Semester of the BA</w:t>
      </w:r>
      <w:r>
        <w:rPr>
          <w:rFonts w:eastAsia="Times New Roman"/>
          <w:b/>
          <w:sz w:val="32"/>
        </w:rPr>
        <w:t xml:space="preserve"> </w:t>
      </w:r>
      <w:proofErr w:type="gramStart"/>
      <w:r w:rsidRPr="004044B8">
        <w:rPr>
          <w:rFonts w:eastAsia="Times New Roman"/>
          <w:b/>
          <w:sz w:val="32"/>
        </w:rPr>
        <w:t>LL.B</w:t>
      </w:r>
      <w:proofErr w:type="gramEnd"/>
      <w:r w:rsidRPr="004044B8">
        <w:rPr>
          <w:rFonts w:eastAsia="Times New Roman"/>
          <w:b/>
          <w:sz w:val="32"/>
        </w:rPr>
        <w:t xml:space="preserve"> COURSE</w:t>
      </w:r>
    </w:p>
    <w:p w14:paraId="69414DF8" w14:textId="77777777" w:rsidR="004044B8" w:rsidRDefault="004044B8" w:rsidP="004044B8">
      <w:pPr>
        <w:jc w:val="center"/>
        <w:rPr>
          <w:rFonts w:eastAsia="Times New Roman"/>
          <w:b/>
          <w:sz w:val="32"/>
        </w:rPr>
      </w:pPr>
    </w:p>
    <w:p w14:paraId="4F802330" w14:textId="7EAA6067" w:rsidR="004044B8" w:rsidRPr="004044B8" w:rsidRDefault="004044B8" w:rsidP="004044B8">
      <w:pPr>
        <w:jc w:val="center"/>
        <w:rPr>
          <w:rFonts w:eastAsia="Times New Roman"/>
          <w:b/>
          <w:sz w:val="32"/>
        </w:rPr>
      </w:pPr>
      <w:r w:rsidRPr="004044B8">
        <w:rPr>
          <w:rFonts w:eastAsia="Times New Roman"/>
          <w:b/>
          <w:sz w:val="32"/>
        </w:rPr>
        <w:t>ACADEMIC YEAR: 202</w:t>
      </w:r>
      <w:r>
        <w:rPr>
          <w:rFonts w:eastAsia="Times New Roman"/>
          <w:b/>
          <w:sz w:val="32"/>
        </w:rPr>
        <w:t>5</w:t>
      </w:r>
      <w:r w:rsidRPr="004044B8">
        <w:rPr>
          <w:rFonts w:eastAsia="Times New Roman"/>
          <w:b/>
          <w:sz w:val="32"/>
        </w:rPr>
        <w:t>-202</w:t>
      </w:r>
      <w:r>
        <w:rPr>
          <w:rFonts w:eastAsia="Times New Roman"/>
          <w:b/>
          <w:sz w:val="32"/>
        </w:rPr>
        <w:t>6</w:t>
      </w:r>
    </w:p>
    <w:p w14:paraId="784859A0" w14:textId="77777777" w:rsidR="004044B8" w:rsidRPr="004044B8" w:rsidRDefault="004044B8" w:rsidP="004044B8">
      <w:pPr>
        <w:rPr>
          <w:rFonts w:eastAsia="Times New Roman"/>
          <w:b/>
          <w:sz w:val="32"/>
        </w:rPr>
      </w:pPr>
    </w:p>
    <w:p w14:paraId="0AA33688" w14:textId="77777777" w:rsidR="004044B8" w:rsidRPr="004044B8" w:rsidRDefault="004044B8" w:rsidP="004044B8">
      <w:pPr>
        <w:jc w:val="center"/>
        <w:rPr>
          <w:rFonts w:eastAsia="Times New Roman"/>
          <w:b/>
          <w:sz w:val="32"/>
        </w:rPr>
      </w:pPr>
      <w:r w:rsidRPr="004044B8">
        <w:rPr>
          <w:rFonts w:eastAsia="Times New Roman"/>
          <w:b/>
          <w:sz w:val="32"/>
        </w:rPr>
        <w:t>By</w:t>
      </w:r>
    </w:p>
    <w:p w14:paraId="7D4CA1D5" w14:textId="77777777" w:rsidR="004044B8" w:rsidRDefault="004044B8" w:rsidP="004044B8">
      <w:pPr>
        <w:jc w:val="center"/>
        <w:rPr>
          <w:rFonts w:eastAsia="Times New Roman"/>
          <w:b/>
          <w:sz w:val="32"/>
        </w:rPr>
      </w:pPr>
      <w:r w:rsidRPr="004044B8">
        <w:rPr>
          <w:rFonts w:eastAsia="Times New Roman"/>
          <w:b/>
          <w:sz w:val="32"/>
        </w:rPr>
        <w:t xml:space="preserve">NAME: KAVERISINGH </w:t>
      </w:r>
    </w:p>
    <w:p w14:paraId="326FA5FF" w14:textId="0AD08A0C" w:rsidR="004044B8" w:rsidRPr="004044B8" w:rsidRDefault="004044B8" w:rsidP="004044B8">
      <w:pPr>
        <w:jc w:val="center"/>
        <w:rPr>
          <w:rFonts w:eastAsia="Times New Roman"/>
          <w:b/>
          <w:sz w:val="32"/>
        </w:rPr>
      </w:pPr>
      <w:r w:rsidRPr="004044B8">
        <w:rPr>
          <w:rFonts w:eastAsia="Times New Roman"/>
          <w:b/>
          <w:sz w:val="32"/>
        </w:rPr>
        <w:t>ROLL NO: 40 DIVISION:C</w:t>
      </w:r>
    </w:p>
    <w:p w14:paraId="003FF006" w14:textId="77777777" w:rsidR="004044B8" w:rsidRPr="004044B8" w:rsidRDefault="004044B8" w:rsidP="004044B8">
      <w:pPr>
        <w:jc w:val="center"/>
        <w:rPr>
          <w:rFonts w:eastAsia="Times New Roman"/>
          <w:b/>
          <w:sz w:val="32"/>
        </w:rPr>
      </w:pPr>
    </w:p>
    <w:p w14:paraId="17F41B85" w14:textId="77777777" w:rsidR="004044B8" w:rsidRDefault="004044B8" w:rsidP="004044B8">
      <w:pPr>
        <w:jc w:val="center"/>
        <w:rPr>
          <w:rFonts w:eastAsia="Times New Roman"/>
          <w:b/>
          <w:sz w:val="32"/>
        </w:rPr>
      </w:pPr>
      <w:r w:rsidRPr="004044B8">
        <w:rPr>
          <w:rFonts w:eastAsia="Times New Roman"/>
          <w:b/>
          <w:sz w:val="32"/>
        </w:rPr>
        <w:t xml:space="preserve">Under the Supervision of </w:t>
      </w:r>
    </w:p>
    <w:p w14:paraId="2FE7B520" w14:textId="4022F3EA" w:rsidR="004044B8" w:rsidRPr="004044B8" w:rsidRDefault="004044B8" w:rsidP="004044B8">
      <w:pPr>
        <w:jc w:val="center"/>
        <w:rPr>
          <w:rFonts w:eastAsia="Times New Roman"/>
          <w:b/>
          <w:sz w:val="32"/>
        </w:rPr>
      </w:pPr>
      <w:r>
        <w:rPr>
          <w:rFonts w:eastAsia="Times New Roman"/>
          <w:b/>
          <w:sz w:val="32"/>
        </w:rPr>
        <w:t xml:space="preserve">Adv. </w:t>
      </w:r>
      <w:proofErr w:type="spellStart"/>
      <w:r>
        <w:rPr>
          <w:rFonts w:eastAsia="Times New Roman"/>
          <w:b/>
          <w:sz w:val="32"/>
        </w:rPr>
        <w:t>Rajeshree</w:t>
      </w:r>
      <w:proofErr w:type="spellEnd"/>
      <w:r>
        <w:rPr>
          <w:rFonts w:eastAsia="Times New Roman"/>
          <w:b/>
          <w:sz w:val="32"/>
        </w:rPr>
        <w:t xml:space="preserve"> </w:t>
      </w:r>
      <w:proofErr w:type="spellStart"/>
      <w:r>
        <w:rPr>
          <w:rFonts w:eastAsia="Times New Roman"/>
          <w:b/>
          <w:sz w:val="32"/>
        </w:rPr>
        <w:t>Deda</w:t>
      </w:r>
      <w:proofErr w:type="spellEnd"/>
    </w:p>
    <w:p w14:paraId="024D9180" w14:textId="7E266889" w:rsidR="004044B8" w:rsidRDefault="004044B8" w:rsidP="001F2364">
      <w:pPr>
        <w:jc w:val="center"/>
        <w:rPr>
          <w:rFonts w:eastAsia="Times New Roman"/>
          <w:b/>
          <w:sz w:val="32"/>
        </w:rPr>
      </w:pPr>
      <w:r>
        <w:rPr>
          <w:rFonts w:eastAsia="Times New Roman"/>
          <w:b/>
          <w:sz w:val="32"/>
        </w:rPr>
        <w:lastRenderedPageBreak/>
        <w:br/>
      </w:r>
      <w:r>
        <w:rPr>
          <w:rFonts w:eastAsia="Times New Roman"/>
          <w:b/>
          <w:sz w:val="32"/>
        </w:rPr>
        <w:br/>
      </w:r>
      <w:r w:rsidRPr="004044B8">
        <w:rPr>
          <w:rFonts w:eastAsia="Times New Roman"/>
          <w:b/>
          <w:sz w:val="32"/>
        </w:rPr>
        <w:t xml:space="preserve">Mob Lynching in India: Statutory Framework under the </w:t>
      </w:r>
      <w:proofErr w:type="spellStart"/>
      <w:r w:rsidRPr="004044B8">
        <w:rPr>
          <w:rFonts w:eastAsia="Times New Roman"/>
          <w:b/>
          <w:sz w:val="32"/>
        </w:rPr>
        <w:t>Bharatiya</w:t>
      </w:r>
      <w:proofErr w:type="spellEnd"/>
      <w:r w:rsidRPr="004044B8">
        <w:rPr>
          <w:rFonts w:eastAsia="Times New Roman"/>
          <w:b/>
          <w:sz w:val="32"/>
        </w:rPr>
        <w:t xml:space="preserve"> Nyaya Sanhita, 2023</w:t>
      </w:r>
    </w:p>
    <w:p w14:paraId="7E533367" w14:textId="64D9603B" w:rsidR="00A70724" w:rsidRDefault="0062183B">
      <w:pPr>
        <w:spacing w:after="240" w:line="360" w:lineRule="auto"/>
        <w:jc w:val="both"/>
      </w:pPr>
      <w:r>
        <w:rPr>
          <w:rFonts w:eastAsia="Times New Roman"/>
        </w:rPr>
        <w:t>Introduction</w:t>
      </w:r>
    </w:p>
    <w:p w14:paraId="58E7F9C4" w14:textId="77777777" w:rsidR="00A70724" w:rsidRDefault="0062183B">
      <w:pPr>
        <w:spacing w:after="240" w:line="360" w:lineRule="auto"/>
        <w:jc w:val="both"/>
      </w:pPr>
      <w:r>
        <w:rPr>
          <w:rFonts w:eastAsia="Times New Roman"/>
        </w:rPr>
        <w:t>In July 2024, India turned a new page in its judicial history by discarding the colonial-era Indian Penal Code (IPC) and enforcing the Bharatiya Nyaya Sanhita (BNS). This shift was not merely administrative; it represented a deeper societal need to confront crimes that previous laws ignored. For years, vigilante justice and mob violence operated in a legal vacuum, often treated no differently than ordinary street fights or riots. The BNS has finally closed this loop. By institutionalizing specific penalties for what we commonly call 'lynching,' the state has acknowledged that collective hatred is a distinct poison requiring a distinct antidote.</w:t>
      </w:r>
    </w:p>
    <w:p w14:paraId="5665BE13" w14:textId="77777777" w:rsidR="00A70724" w:rsidRDefault="0062183B">
      <w:pPr>
        <w:spacing w:after="240" w:line="360" w:lineRule="auto"/>
        <w:jc w:val="both"/>
      </w:pPr>
      <w:r>
        <w:rPr>
          <w:rFonts w:eastAsia="Times New Roman"/>
        </w:rPr>
        <w:t>Legal Framework and Recognition</w:t>
      </w:r>
    </w:p>
    <w:p w14:paraId="1839D1FF" w14:textId="77777777" w:rsidR="00A70724" w:rsidRDefault="0062183B">
      <w:pPr>
        <w:spacing w:after="240" w:line="360" w:lineRule="auto"/>
        <w:jc w:val="both"/>
      </w:pPr>
      <w:r>
        <w:rPr>
          <w:rFonts w:eastAsia="Times New Roman"/>
        </w:rPr>
        <w:t>The core of this reform lies in Section 103(2), a provision designed to pin accountability on faceless crowds. Previously, the defense strategies in mob violence cases relied heavily on the confusion of the moment—claiming it was impossible to know who struck the fatal blow. The new law disarms this argument. It explicitly states that when five or more individuals gather with a shared intent to kill based on prejudice—be it caste, community, or personal belief—they are all equally culpable. The law no longer sees a 'crowd'; it sees a coordinated unit of offenders, stripping away the defense of anonymity.</w:t>
      </w:r>
    </w:p>
    <w:p w14:paraId="6C1DFA73" w14:textId="77777777" w:rsidR="001F2364" w:rsidRDefault="001F2364">
      <w:pPr>
        <w:spacing w:after="240" w:line="360" w:lineRule="auto"/>
        <w:jc w:val="both"/>
        <w:rPr>
          <w:rFonts w:eastAsia="Times New Roman"/>
        </w:rPr>
      </w:pPr>
    </w:p>
    <w:p w14:paraId="7D39D71C" w14:textId="22853A65" w:rsidR="00A70724" w:rsidRDefault="0062183B">
      <w:pPr>
        <w:spacing w:after="240" w:line="360" w:lineRule="auto"/>
        <w:jc w:val="both"/>
      </w:pPr>
      <w:r>
        <w:rPr>
          <w:rFonts w:eastAsia="Times New Roman"/>
        </w:rPr>
        <w:lastRenderedPageBreak/>
        <w:t>Penal Measures and Deterrence</w:t>
      </w:r>
    </w:p>
    <w:p w14:paraId="2EFE4535" w14:textId="77777777" w:rsidR="00A70724" w:rsidRDefault="0062183B">
      <w:pPr>
        <w:spacing w:after="240" w:line="360" w:lineRule="auto"/>
        <w:jc w:val="both"/>
      </w:pPr>
      <w:r>
        <w:rPr>
          <w:rFonts w:eastAsia="Times New Roman"/>
        </w:rPr>
        <w:t>To match the severity of the crime, the BNS has introduced uncompromising penalties. The statute mandates that anyone convicted under Section 103(2) faces life imprisonment or the death penalty, in addition to a substantial fine. This effectively categorizes hate-driven mob murder as a capital offense, signaling zero tolerance from the judicial system. Furthermore, the legislation anticipates scenarios where victims survive. Section 117(4) specifically targets non-fatal mob attacks resulting in 'grievous hurt,' prescribing prison terms of up to seven years. This ensures a comprehensive legal net that catches all forms of group violence, regardless of the lethal outcome.</w:t>
      </w:r>
    </w:p>
    <w:p w14:paraId="6BB1DBCA" w14:textId="77777777" w:rsidR="00A70724" w:rsidRDefault="0062183B">
      <w:pPr>
        <w:spacing w:after="240" w:line="360" w:lineRule="auto"/>
        <w:jc w:val="both"/>
      </w:pPr>
      <w:r>
        <w:rPr>
          <w:rFonts w:eastAsia="Times New Roman"/>
        </w:rPr>
        <w:t>Conclusion</w:t>
      </w:r>
    </w:p>
    <w:p w14:paraId="2149D6E9" w14:textId="77777777" w:rsidR="00A70724" w:rsidRDefault="0062183B">
      <w:pPr>
        <w:spacing w:after="240" w:line="360" w:lineRule="auto"/>
        <w:jc w:val="both"/>
      </w:pPr>
      <w:r>
        <w:rPr>
          <w:rFonts w:eastAsia="Times New Roman"/>
        </w:rPr>
        <w:t>Ultimately, the specific inclusion of mob lynching in the BNS is a victory for constitutional values over majoritarian impulses. It transforms the abstract promise of 'equality before law' into a concrete enforcement mechanism. By equating mob justice with the highest crimes known to the state, the new code sends a stern warning: the power to punish belongs solely to the judiciary, never to the street. This legal evolution is essential for safeguarding the dignity of every citizen against the tyranny of the crowd.</w:t>
      </w:r>
    </w:p>
    <w:p w14:paraId="28C66C4E" w14:textId="77777777" w:rsidR="00A70724" w:rsidRDefault="0062183B">
      <w:r>
        <w:br w:type="page"/>
      </w:r>
    </w:p>
    <w:p w14:paraId="5F35C6FF" w14:textId="77777777" w:rsidR="00A70724" w:rsidRDefault="0062183B">
      <w:r>
        <w:rPr>
          <w:rFonts w:eastAsia="Times New Roman"/>
          <w:b/>
        </w:rPr>
        <w:lastRenderedPageBreak/>
        <w:t>References</w:t>
      </w:r>
    </w:p>
    <w:p w14:paraId="2D201C99" w14:textId="77777777" w:rsidR="00A70724" w:rsidRDefault="0062183B">
      <w:pPr>
        <w:spacing w:after="120" w:line="240" w:lineRule="auto"/>
      </w:pPr>
      <w:r>
        <w:rPr>
          <w:rFonts w:eastAsia="Times New Roman"/>
          <w:sz w:val="24"/>
        </w:rPr>
        <w:t xml:space="preserve">[1] Section 103, The Bharatiya Nyaya Sanhita, 2023 (Act No. 45 of 2023). </w:t>
      </w:r>
      <w:hyperlink r:id="rId7">
        <w:r>
          <w:t>[View Source]</w:t>
        </w:r>
      </w:hyperlink>
    </w:p>
    <w:p w14:paraId="43F5EC01" w14:textId="77777777" w:rsidR="00A70724" w:rsidRDefault="0062183B">
      <w:pPr>
        <w:spacing w:after="120" w:line="240" w:lineRule="auto"/>
      </w:pPr>
      <w:r>
        <w:rPr>
          <w:rFonts w:eastAsia="Times New Roman"/>
          <w:sz w:val="24"/>
        </w:rPr>
        <w:t xml:space="preserve">[2] Ibid, Section 103(2). </w:t>
      </w:r>
    </w:p>
    <w:p w14:paraId="4C6BB4B6" w14:textId="77777777" w:rsidR="00A70724" w:rsidRDefault="0062183B">
      <w:pPr>
        <w:spacing w:after="120" w:line="240" w:lineRule="auto"/>
      </w:pPr>
      <w:r>
        <w:rPr>
          <w:rFonts w:eastAsia="Times New Roman"/>
          <w:sz w:val="24"/>
        </w:rPr>
        <w:t xml:space="preserve">[3] Section 117(4), The Bharatiya Nyaya Sanhita, 2023. </w:t>
      </w:r>
      <w:hyperlink r:id="rId8">
        <w:r>
          <w:t>[View Source]</w:t>
        </w:r>
      </w:hyperlink>
    </w:p>
    <w:p w14:paraId="5B00757E" w14:textId="77777777" w:rsidR="00A70724" w:rsidRDefault="0062183B">
      <w:pPr>
        <w:spacing w:after="120" w:line="240" w:lineRule="auto"/>
      </w:pPr>
      <w:r>
        <w:rPr>
          <w:rFonts w:eastAsia="Times New Roman"/>
          <w:sz w:val="24"/>
        </w:rPr>
        <w:t xml:space="preserve">[4] PRS Legislative Research, 'The Bharatiya Nyaya Sanhita, 2023 Bill Summary'. </w:t>
      </w:r>
      <w:hyperlink r:id="rId9">
        <w:r>
          <w:t>[View Source]</w:t>
        </w:r>
      </w:hyperlink>
    </w:p>
    <w:sectPr w:rsidR="00A707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364"/>
    <w:rsid w:val="0029639D"/>
    <w:rsid w:val="00326F90"/>
    <w:rsid w:val="004044B8"/>
    <w:rsid w:val="0062183B"/>
    <w:rsid w:val="007C21B4"/>
    <w:rsid w:val="00A707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D3457"/>
  <w14:defaultImageDpi w14:val="300"/>
  <w15:docId w15:val="{C801D584-4962-45C2-8CBB-2508A944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46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sindia.org/billtrack/the-bharatiya-nyaya-sanhita-2023" TargetMode="External"/><Relationship Id="rId3" Type="http://schemas.openxmlformats.org/officeDocument/2006/relationships/styles" Target="styles.xml"/><Relationship Id="rId7" Type="http://schemas.openxmlformats.org/officeDocument/2006/relationships/hyperlink" Target="https://www.indiacode.nic.in/bitstream/123456789/21033/1/the_bharatiya_nyaya_sanhita%2C_202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sindia.org/billtrack/the-bharatiya-nyaya-sanhita-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kunalsinghks2003@gmail.com</cp:lastModifiedBy>
  <cp:revision>2</cp:revision>
  <dcterms:created xsi:type="dcterms:W3CDTF">2026-02-08T19:45:00Z</dcterms:created>
  <dcterms:modified xsi:type="dcterms:W3CDTF">2026-02-08T19:45:00Z</dcterms:modified>
  <cp:category/>
</cp:coreProperties>
</file>