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AF" w14:textId="77777777" w:rsidR="0017491A" w:rsidRPr="0017491A" w:rsidRDefault="0017491A" w:rsidP="0017491A">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17491A">
        <w:rPr>
          <w:rFonts w:ascii="Montserrat" w:eastAsia="Times New Roman" w:hAnsi="Montserrat" w:cs="Times New Roman"/>
          <w:b/>
          <w:bCs/>
          <w:color w:val="000000"/>
          <w:kern w:val="36"/>
          <w:sz w:val="48"/>
          <w:szCs w:val="48"/>
          <w14:ligatures w14:val="none"/>
        </w:rPr>
        <w:t>Unravelling the blockchain: Opportunities and challenges in FinTech</w:t>
      </w:r>
    </w:p>
    <w:p w14:paraId="520E4CBB" w14:textId="77777777" w:rsidR="0017491A" w:rsidRPr="0017491A" w:rsidRDefault="0017491A" w:rsidP="0017491A">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17491A">
        <w:rPr>
          <w:rFonts w:ascii="Montserrat" w:eastAsia="Times New Roman" w:hAnsi="Montserrat" w:cs="Times New Roman"/>
          <w:i/>
          <w:iCs/>
          <w:color w:val="555555"/>
          <w:kern w:val="0"/>
          <w:sz w:val="36"/>
          <w:szCs w:val="36"/>
          <w14:ligatures w14:val="none"/>
        </w:rPr>
        <w:t>Implementing blockchain in FinTech demands strategic adeptness among numerous challenges</w:t>
      </w:r>
    </w:p>
    <w:p w14:paraId="09A27795" w14:textId="77777777" w:rsidR="0017491A" w:rsidRPr="0017491A" w:rsidRDefault="0017491A" w:rsidP="0017491A">
      <w:pPr>
        <w:shd w:val="clear" w:color="auto" w:fill="FFFFFF"/>
        <w:spacing w:after="0" w:line="240" w:lineRule="auto"/>
        <w:rPr>
          <w:rFonts w:ascii="Montserrat" w:eastAsia="Times New Roman" w:hAnsi="Montserrat" w:cs="Times New Roman"/>
          <w:color w:val="000000"/>
          <w:kern w:val="0"/>
          <w:sz w:val="24"/>
          <w:szCs w:val="24"/>
          <w14:ligatures w14:val="none"/>
        </w:rPr>
      </w:pPr>
      <w:r w:rsidRPr="0017491A">
        <w:rPr>
          <w:rFonts w:ascii="Montserrat" w:eastAsia="Times New Roman" w:hAnsi="Montserrat" w:cs="Times New Roman"/>
          <w:color w:val="000000"/>
          <w:kern w:val="0"/>
          <w:sz w:val="24"/>
          <w:szCs w:val="24"/>
          <w14:ligatures w14:val="none"/>
        </w:rPr>
        <w:t>November 13, 2023</w:t>
      </w:r>
    </w:p>
    <w:p w14:paraId="76089AF4"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The dynamism inherent in FinTech, an </w:t>
      </w:r>
      <w:hyperlink r:id="rId4" w:history="1">
        <w:r>
          <w:rPr>
            <w:rStyle w:val="Hyperlink"/>
            <w:rFonts w:ascii="Montserrat" w:hAnsi="Montserrat"/>
            <w:color w:val="0052CC"/>
          </w:rPr>
          <w:t>industry</w:t>
        </w:r>
      </w:hyperlink>
      <w:r>
        <w:rPr>
          <w:rFonts w:ascii="Montserrat" w:hAnsi="Montserrat"/>
          <w:color w:val="000000"/>
        </w:rPr>
        <w:t> at the forefront of the monetary revolution, is embracing a key disruptor, blockchain. The coalescence of FinTech and blockchain, although laden with complexities, promises unparalleled transparency, traceability, and security, with the potential to redefine service delivery.</w:t>
      </w:r>
    </w:p>
    <w:p w14:paraId="432D6745"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Implementing blockchain in FinTech demands strategic adeptness among numerous challenges, from compatibility to operations. This article delves into the opportunities and impediments to integrating this revolutionary technology. </w:t>
      </w:r>
    </w:p>
    <w:p w14:paraId="37F614BE" w14:textId="77777777" w:rsidR="0017491A" w:rsidRDefault="0017491A" w:rsidP="0017491A">
      <w:pPr>
        <w:pStyle w:val="Heading2"/>
        <w:shd w:val="clear" w:color="auto" w:fill="FFFFFF"/>
        <w:rPr>
          <w:rFonts w:ascii="var(--wp--custom--font-main)" w:hAnsi="var(--wp--custom--font-main)"/>
          <w:color w:val="000000"/>
        </w:rPr>
      </w:pPr>
      <w:r>
        <w:rPr>
          <w:rStyle w:val="Strong"/>
          <w:rFonts w:ascii="var(--wp--custom--font-main)" w:hAnsi="var(--wp--custom--font-main)"/>
          <w:b/>
          <w:bCs/>
          <w:color w:val="000000"/>
        </w:rPr>
        <w:t>Blockchain and FinTech: A Phenomenal Confluence of Growth </w:t>
      </w:r>
    </w:p>
    <w:p w14:paraId="7686809B" w14:textId="77777777" w:rsidR="0017491A" w:rsidRDefault="0017491A" w:rsidP="0017491A">
      <w:pPr>
        <w:pStyle w:val="NormalWeb"/>
        <w:shd w:val="clear" w:color="auto" w:fill="FFFFFF"/>
        <w:rPr>
          <w:rFonts w:ascii="Montserrat" w:hAnsi="Montserrat"/>
          <w:color w:val="000000"/>
        </w:rPr>
      </w:pPr>
      <w:proofErr w:type="gramStart"/>
      <w:r>
        <w:rPr>
          <w:rFonts w:ascii="Montserrat" w:hAnsi="Montserrat"/>
          <w:color w:val="000000"/>
        </w:rPr>
        <w:t>The  meteoric</w:t>
      </w:r>
      <w:proofErr w:type="gramEnd"/>
      <w:r>
        <w:rPr>
          <w:rFonts w:ascii="Montserrat" w:hAnsi="Montserrat"/>
          <w:color w:val="000000"/>
        </w:rPr>
        <w:t xml:space="preserve"> rise of the global FinTech blockchain </w:t>
      </w:r>
      <w:hyperlink r:id="rId5" w:history="1">
        <w:r>
          <w:rPr>
            <w:rStyle w:val="Hyperlink"/>
            <w:rFonts w:ascii="Montserrat" w:hAnsi="Montserrat"/>
            <w:color w:val="0052CC"/>
          </w:rPr>
          <w:t>market</w:t>
        </w:r>
      </w:hyperlink>
      <w:r>
        <w:rPr>
          <w:rFonts w:ascii="Montserrat" w:hAnsi="Montserrat"/>
          <w:color w:val="000000"/>
        </w:rPr>
        <w:t>, a realm ablaze with innovation and teeming with potential, is dazzling. Imagine a landscape set to explode into a realm worth an astounding $43.1 billion by 2030, a staggering ascent marked by a remarkable CAGR of 53.6% during the forecast period of 2022-2030.</w:t>
      </w:r>
    </w:p>
    <w:p w14:paraId="2100B45E"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In the not-so-distant past, in 2022 to be precise, this market was valued at $3.53 billion. Brace yourselves, for it is expected to surge by a breathtaking 75.80% from 2023 to 2029, reaching an awe-inspiring figure of nearly $183.56 billion.</w:t>
      </w:r>
    </w:p>
    <w:p w14:paraId="33144FF1" w14:textId="77777777" w:rsidR="0017491A" w:rsidRDefault="0017491A" w:rsidP="0017491A">
      <w:pPr>
        <w:pStyle w:val="NormalWeb"/>
        <w:shd w:val="clear" w:color="auto" w:fill="FFFFFF"/>
        <w:rPr>
          <w:rFonts w:ascii="Montserrat" w:hAnsi="Montserrat"/>
          <w:color w:val="000000"/>
        </w:rPr>
      </w:pPr>
      <w:hyperlink r:id="rId6" w:history="1">
        <w:r>
          <w:rPr>
            <w:rStyle w:val="Hyperlink"/>
            <w:rFonts w:ascii="Montserrat" w:hAnsi="Montserrat"/>
            <w:color w:val="0052CC"/>
          </w:rPr>
          <w:t>Artificial intelligence</w:t>
        </w:r>
      </w:hyperlink>
      <w:r>
        <w:rPr>
          <w:rFonts w:ascii="Montserrat" w:hAnsi="Montserrat"/>
          <w:color w:val="000000"/>
        </w:rPr>
        <w:t> and cloud computing, as beacons of this narrative, have also been the architects of this revolution.</w:t>
      </w:r>
    </w:p>
    <w:p w14:paraId="2D4BA991"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In 2020, global investments poured into blockchain and </w:t>
      </w:r>
      <w:hyperlink r:id="rId7" w:history="1">
        <w:r>
          <w:rPr>
            <w:rStyle w:val="Hyperlink"/>
            <w:rFonts w:ascii="Montserrat" w:hAnsi="Montserrat"/>
            <w:color w:val="0052CC"/>
          </w:rPr>
          <w:t>cryptocurrency</w:t>
        </w:r>
      </w:hyperlink>
      <w:r>
        <w:rPr>
          <w:rFonts w:ascii="Montserrat" w:hAnsi="Montserrat"/>
          <w:color w:val="000000"/>
        </w:rPr>
        <w:t xml:space="preserve"> enterprises, an extravagant sum totalling $1.2 billion. </w:t>
      </w:r>
      <w:r>
        <w:rPr>
          <w:rFonts w:ascii="Montserrat" w:hAnsi="Montserrat"/>
          <w:color w:val="000000"/>
        </w:rPr>
        <w:lastRenderedPageBreak/>
        <w:t>Alongside the influx of funding, technological advancements, widespread adoption in both colossal enterprises and nimble SMEs, and an ever-growing awareness of blockchain’s boundless potential in the financial technology sector have ignited the industry’s fiery growth. The very pulse of this expansion is the adoption of cryptocurrencies and digital tokens for payments, a pivotal force steering this market.</w:t>
      </w:r>
    </w:p>
    <w:p w14:paraId="4AB4F16C"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FinTech enterprises are not merely embracing blockchain; they are entwining it into their DNA to streamline operations, thwart fraudulent activities, and elevate customer service standards to unprecedented heights.</w:t>
      </w:r>
    </w:p>
    <w:p w14:paraId="1A9E9C98"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Now, let us talk about the titans of this realm, the market dominators. Behold names like </w:t>
      </w:r>
      <w:hyperlink r:id="rId8" w:history="1">
        <w:r>
          <w:rPr>
            <w:rStyle w:val="Hyperlink"/>
            <w:rFonts w:ascii="Montserrat" w:hAnsi="Montserrat"/>
            <w:color w:val="0052CC"/>
          </w:rPr>
          <w:t>Amazon</w:t>
        </w:r>
      </w:hyperlink>
      <w:r>
        <w:rPr>
          <w:rFonts w:ascii="Montserrat" w:hAnsi="Montserrat"/>
          <w:color w:val="000000"/>
        </w:rPr>
        <w:t> Web Services, AlphaPoint Corporation, Bitfury Group Limited, Oracle Corporation, and Digital Asset Holdings, giants whose footprints define the competitive landscape. </w:t>
      </w:r>
    </w:p>
    <w:p w14:paraId="51EA3D52"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Some esteemed solution providers in the FinTech blockchain market are </w:t>
      </w:r>
      <w:hyperlink r:id="rId9" w:history="1">
        <w:r>
          <w:rPr>
            <w:rStyle w:val="Hyperlink"/>
            <w:rFonts w:ascii="Montserrat" w:hAnsi="Montserrat"/>
            <w:color w:val="0052CC"/>
          </w:rPr>
          <w:t>Microsoft</w:t>
        </w:r>
      </w:hyperlink>
      <w:r>
        <w:rPr>
          <w:rFonts w:ascii="Montserrat" w:hAnsi="Montserrat"/>
          <w:color w:val="000000"/>
        </w:rPr>
        <w:t> Corporation, Ripple, Amazon.com, Inc., Oracle, Digital Asset Holdings, LLC, Bitfury Group Limited., BTL., Liquefy Limited., and Earthport PLC. </w:t>
      </w:r>
    </w:p>
    <w:p w14:paraId="223F6548"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The FinTech blockchain market thrives on soaring cryptocurrency market caps, the appeal of initial coin offerings (ICOs), and an insatiable demand for distributed ledger technology.</w:t>
      </w:r>
    </w:p>
    <w:p w14:paraId="751D439C" w14:textId="77777777" w:rsidR="0017491A" w:rsidRDefault="0017491A" w:rsidP="0017491A">
      <w:pPr>
        <w:pStyle w:val="Heading2"/>
        <w:shd w:val="clear" w:color="auto" w:fill="FFFFFF"/>
        <w:rPr>
          <w:rFonts w:ascii="var(--wp--custom--font-main)" w:hAnsi="var(--wp--custom--font-main)"/>
          <w:color w:val="000000"/>
        </w:rPr>
      </w:pPr>
      <w:r>
        <w:rPr>
          <w:rStyle w:val="Strong"/>
          <w:rFonts w:ascii="var(--wp--custom--font-main)" w:hAnsi="var(--wp--custom--font-main)"/>
          <w:b/>
          <w:bCs/>
          <w:color w:val="000000"/>
        </w:rPr>
        <w:t>Unleashing Blockchain’s Potential in FinTech</w:t>
      </w:r>
    </w:p>
    <w:p w14:paraId="7EB7AA4F"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There are myriad opportunities ripe for exploration in the integration of blockchain technology within the FinTech landscape:</w:t>
      </w:r>
    </w:p>
    <w:p w14:paraId="670D959A"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1. </w:t>
      </w:r>
      <w:r>
        <w:rPr>
          <w:rStyle w:val="Strong"/>
          <w:rFonts w:ascii="Montserrat" w:hAnsi="Montserrat"/>
          <w:color w:val="000000"/>
        </w:rPr>
        <w:t>Reinventing Digital Payments:</w:t>
      </w:r>
      <w:r>
        <w:rPr>
          <w:rFonts w:ascii="Montserrat" w:hAnsi="Montserrat"/>
          <w:color w:val="000000"/>
        </w:rPr>
        <w:t xml:space="preserve"> Blockchain’s core strength lies in its transparency, security, and immutability. For instance, </w:t>
      </w:r>
      <w:proofErr w:type="gramStart"/>
      <w:r>
        <w:rPr>
          <w:rFonts w:ascii="Montserrat" w:hAnsi="Montserrat"/>
          <w:color w:val="000000"/>
        </w:rPr>
        <w:t>we.trade</w:t>
      </w:r>
      <w:proofErr w:type="gramEnd"/>
      <w:r>
        <w:rPr>
          <w:rFonts w:ascii="Montserrat" w:hAnsi="Montserrat"/>
          <w:color w:val="000000"/>
        </w:rPr>
        <w:t>, a blockchain-powered platform, redefines cross-border trade finance among SMEs.</w:t>
      </w:r>
    </w:p>
    <w:p w14:paraId="0F312D5C"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2. </w:t>
      </w:r>
      <w:r>
        <w:rPr>
          <w:rStyle w:val="Strong"/>
          <w:rFonts w:ascii="Montserrat" w:hAnsi="Montserrat"/>
          <w:color w:val="000000"/>
        </w:rPr>
        <w:t>Enriched Offerings:</w:t>
      </w:r>
      <w:r>
        <w:rPr>
          <w:rFonts w:ascii="Montserrat" w:hAnsi="Montserrat"/>
          <w:color w:val="000000"/>
        </w:rPr>
        <w:t> Blockchain facilitates intelligent service delivery. Robinhood, a leading trading platform, offers real-time market data and secure trading for a variety of cryptocurrencies, ensuring user ownership rights and using blockchain technology to provide valuable insights into stock supply and demand patterns before trades are executed.</w:t>
      </w:r>
    </w:p>
    <w:p w14:paraId="6CA5D1ED"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3. </w:t>
      </w:r>
      <w:r>
        <w:rPr>
          <w:rStyle w:val="Strong"/>
          <w:rFonts w:ascii="Montserrat" w:hAnsi="Montserrat"/>
          <w:color w:val="000000"/>
        </w:rPr>
        <w:t>Customisation: </w:t>
      </w:r>
      <w:r>
        <w:rPr>
          <w:rFonts w:ascii="Montserrat" w:hAnsi="Montserrat"/>
          <w:color w:val="000000"/>
        </w:rPr>
        <w:t>With personalised financial advice, FinTech firms can enrich their service offerings. For example, traditional banks such as HSBC and Barclays are leveraging blockchain for personalised wealth management services.</w:t>
      </w:r>
    </w:p>
    <w:p w14:paraId="30735115"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lastRenderedPageBreak/>
        <w:t>4. </w:t>
      </w:r>
      <w:r>
        <w:rPr>
          <w:rStyle w:val="Strong"/>
          <w:rFonts w:ascii="Montserrat" w:hAnsi="Montserrat"/>
          <w:color w:val="000000"/>
        </w:rPr>
        <w:t>Establishing Transparency: </w:t>
      </w:r>
      <w:r>
        <w:rPr>
          <w:rFonts w:ascii="Montserrat" w:hAnsi="Montserrat"/>
          <w:color w:val="000000"/>
        </w:rPr>
        <w:t>Blockchain fosters a sense of trust and accountability among customers. ‘Lendtech’ firms like Funding Circle and Zopa are harnessing blockchain for transparency in lending.</w:t>
      </w:r>
    </w:p>
    <w:p w14:paraId="52FA6054" w14:textId="77777777" w:rsidR="0017491A" w:rsidRDefault="0017491A" w:rsidP="0017491A">
      <w:pPr>
        <w:pStyle w:val="Heading2"/>
        <w:shd w:val="clear" w:color="auto" w:fill="FFFFFF"/>
        <w:rPr>
          <w:rFonts w:ascii="var(--wp--custom--font-main)" w:hAnsi="var(--wp--custom--font-main)"/>
          <w:color w:val="000000"/>
        </w:rPr>
      </w:pPr>
      <w:r>
        <w:rPr>
          <w:rStyle w:val="Strong"/>
          <w:rFonts w:ascii="var(--wp--custom--font-main)" w:hAnsi="var(--wp--custom--font-main)"/>
          <w:b/>
          <w:bCs/>
          <w:color w:val="000000"/>
        </w:rPr>
        <w:t>Hurdles on the Road to Integration</w:t>
      </w:r>
    </w:p>
    <w:p w14:paraId="6A4E5E37"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Several challenges exist in the path of seamless blockchain integration in the FinTech industry.</w:t>
      </w:r>
    </w:p>
    <w:p w14:paraId="5B814CCE" w14:textId="77777777" w:rsidR="0017491A" w:rsidRDefault="0017491A" w:rsidP="0017491A">
      <w:pPr>
        <w:pStyle w:val="NormalWeb"/>
        <w:shd w:val="clear" w:color="auto" w:fill="FFFFFF"/>
        <w:rPr>
          <w:rFonts w:ascii="Montserrat" w:hAnsi="Montserrat"/>
          <w:color w:val="000000"/>
        </w:rPr>
      </w:pPr>
      <w:r>
        <w:rPr>
          <w:rStyle w:val="Strong"/>
          <w:rFonts w:ascii="Montserrat" w:hAnsi="Montserrat"/>
          <w:color w:val="000000"/>
        </w:rPr>
        <w:t>1. Financial Implications: </w:t>
      </w:r>
      <w:r>
        <w:rPr>
          <w:rFonts w:ascii="Montserrat" w:hAnsi="Montserrat"/>
          <w:color w:val="000000"/>
        </w:rPr>
        <w:t>The integration of blockchain requires substantial investment in hardware and software infrastructure, which can deter smaller firms and new ventures.</w:t>
      </w:r>
    </w:p>
    <w:p w14:paraId="0A6C5919" w14:textId="77777777" w:rsidR="0017491A" w:rsidRDefault="0017491A" w:rsidP="0017491A">
      <w:pPr>
        <w:pStyle w:val="NormalWeb"/>
        <w:shd w:val="clear" w:color="auto" w:fill="FFFFFF"/>
        <w:rPr>
          <w:rFonts w:ascii="Montserrat" w:hAnsi="Montserrat"/>
          <w:color w:val="000000"/>
        </w:rPr>
      </w:pPr>
      <w:r>
        <w:rPr>
          <w:rStyle w:val="Strong"/>
          <w:rFonts w:ascii="Montserrat" w:hAnsi="Montserrat"/>
          <w:color w:val="000000"/>
        </w:rPr>
        <w:t>2. Immutability Concerns: </w:t>
      </w:r>
      <w:r>
        <w:rPr>
          <w:rFonts w:ascii="Montserrat" w:hAnsi="Montserrat"/>
          <w:color w:val="000000"/>
        </w:rPr>
        <w:t>Ensuring data compliance, although the blockchain’s unchangeable nature, is a notable concern.</w:t>
      </w:r>
    </w:p>
    <w:p w14:paraId="79A2DAE3" w14:textId="77777777" w:rsidR="0017491A" w:rsidRDefault="0017491A" w:rsidP="0017491A">
      <w:pPr>
        <w:pStyle w:val="NormalWeb"/>
        <w:shd w:val="clear" w:color="auto" w:fill="FFFFFF"/>
        <w:rPr>
          <w:rFonts w:ascii="Montserrat" w:hAnsi="Montserrat"/>
          <w:color w:val="000000"/>
        </w:rPr>
      </w:pPr>
      <w:r>
        <w:rPr>
          <w:rStyle w:val="Strong"/>
          <w:rFonts w:ascii="Montserrat" w:hAnsi="Montserrat"/>
          <w:color w:val="000000"/>
        </w:rPr>
        <w:t>3. Cybersecurity Threats: </w:t>
      </w:r>
      <w:r>
        <w:rPr>
          <w:rFonts w:ascii="Montserrat" w:hAnsi="Montserrat"/>
          <w:color w:val="000000"/>
        </w:rPr>
        <w:t>Even with blockchain’s high security, firms still need robust cybersecurity measures to mitigate potential risks.</w:t>
      </w:r>
    </w:p>
    <w:p w14:paraId="77B42940" w14:textId="77777777" w:rsidR="0017491A" w:rsidRDefault="0017491A" w:rsidP="0017491A">
      <w:pPr>
        <w:pStyle w:val="NormalWeb"/>
        <w:shd w:val="clear" w:color="auto" w:fill="FFFFFF"/>
        <w:rPr>
          <w:rFonts w:ascii="Montserrat" w:hAnsi="Montserrat"/>
          <w:color w:val="000000"/>
        </w:rPr>
      </w:pPr>
      <w:r>
        <w:rPr>
          <w:rStyle w:val="Strong"/>
          <w:rFonts w:ascii="Montserrat" w:hAnsi="Montserrat"/>
          <w:color w:val="000000"/>
        </w:rPr>
        <w:t>4. Regulatory uncertainty: </w:t>
      </w:r>
      <w:r>
        <w:rPr>
          <w:rFonts w:ascii="Montserrat" w:hAnsi="Montserrat"/>
          <w:color w:val="000000"/>
        </w:rPr>
        <w:t>Lack of standardised regulations can hinder blockchain adoption in the FinTech sector.</w:t>
      </w:r>
    </w:p>
    <w:p w14:paraId="559F86F1" w14:textId="77777777" w:rsidR="0017491A" w:rsidRDefault="0017491A" w:rsidP="0017491A">
      <w:pPr>
        <w:pStyle w:val="NormalWeb"/>
        <w:shd w:val="clear" w:color="auto" w:fill="FFFFFF"/>
        <w:rPr>
          <w:rFonts w:ascii="Montserrat" w:hAnsi="Montserrat"/>
          <w:color w:val="000000"/>
        </w:rPr>
      </w:pPr>
      <w:r>
        <w:rPr>
          <w:rStyle w:val="Strong"/>
          <w:rFonts w:ascii="Montserrat" w:hAnsi="Montserrat"/>
          <w:color w:val="000000"/>
        </w:rPr>
        <w:t>5. Scalability &amp; Interoperability: </w:t>
      </w:r>
      <w:r>
        <w:rPr>
          <w:rFonts w:ascii="Montserrat" w:hAnsi="Montserrat"/>
          <w:color w:val="000000"/>
        </w:rPr>
        <w:t>Scaling blockchain to support a larger volume of transactions while ensuring compatibility with existing networks is another significant hurdle.</w:t>
      </w:r>
    </w:p>
    <w:p w14:paraId="6408ADC8" w14:textId="77777777" w:rsidR="0017491A" w:rsidRDefault="0017491A" w:rsidP="0017491A">
      <w:pPr>
        <w:pStyle w:val="Heading2"/>
        <w:shd w:val="clear" w:color="auto" w:fill="FFFFFF"/>
        <w:rPr>
          <w:rFonts w:ascii="var(--wp--custom--font-main)" w:hAnsi="var(--wp--custom--font-main)"/>
          <w:color w:val="000000"/>
        </w:rPr>
      </w:pPr>
      <w:r>
        <w:rPr>
          <w:rStyle w:val="Strong"/>
          <w:rFonts w:ascii="var(--wp--custom--font-main)" w:hAnsi="var(--wp--custom--font-main)"/>
          <w:b/>
          <w:bCs/>
          <w:color w:val="000000"/>
        </w:rPr>
        <w:t>Embracing the Transformative Power of DeFi</w:t>
      </w:r>
    </w:p>
    <w:p w14:paraId="3BFFB084"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Decentralized finance (DeFi) is a rapidly expanding sector in FinTech that advances innovative financial products and services. From crowdfunding platforms such as Gnosis, which uses DeFi for fundraising, to Aave, which provides blockchain-based lending services, the potential of DeFi disruption is being recognised across the FinTech industry.</w:t>
      </w:r>
    </w:p>
    <w:p w14:paraId="5B239024" w14:textId="77777777" w:rsidR="0017491A" w:rsidRDefault="0017491A" w:rsidP="0017491A">
      <w:pPr>
        <w:pStyle w:val="Heading2"/>
        <w:shd w:val="clear" w:color="auto" w:fill="FFFFFF"/>
        <w:rPr>
          <w:rFonts w:ascii="var(--wp--custom--font-main)" w:hAnsi="var(--wp--custom--font-main)"/>
          <w:color w:val="000000"/>
        </w:rPr>
      </w:pPr>
      <w:r>
        <w:rPr>
          <w:rStyle w:val="Strong"/>
          <w:rFonts w:ascii="var(--wp--custom--font-main)" w:hAnsi="var(--wp--custom--font-main)"/>
          <w:b/>
          <w:bCs/>
          <w:color w:val="000000"/>
        </w:rPr>
        <w:t>Traditional banks and blockchain adoption</w:t>
      </w:r>
    </w:p>
    <w:p w14:paraId="7E5DAD42"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Traditional banks are also adapting to the integration of blockchain technology in multiple ways, from developing their own blockchain solutions, such as HSBC’s Digital Vault, to investing in blockchain start-ups, such as Santander InnoVentures’ collaboration with Ripple and Digital Asset Holdings.</w:t>
      </w:r>
    </w:p>
    <w:p w14:paraId="6ACCCAAA" w14:textId="77777777" w:rsidR="0017491A" w:rsidRDefault="0017491A" w:rsidP="0017491A">
      <w:pPr>
        <w:pStyle w:val="NormalWeb"/>
        <w:shd w:val="clear" w:color="auto" w:fill="FFFFFF"/>
        <w:rPr>
          <w:rFonts w:ascii="Montserrat" w:hAnsi="Montserrat"/>
          <w:color w:val="000000"/>
        </w:rPr>
      </w:pPr>
      <w:r>
        <w:rPr>
          <w:rFonts w:ascii="Montserrat" w:hAnsi="Montserrat"/>
          <w:color w:val="000000"/>
        </w:rPr>
        <w:t xml:space="preserve">In conclusion, the fusion of blockchain and FinTech promises transformative potential; however, overcoming financial, regulatory, and technical </w:t>
      </w:r>
      <w:r>
        <w:rPr>
          <w:rFonts w:ascii="Montserrat" w:hAnsi="Montserrat"/>
          <w:color w:val="000000"/>
        </w:rPr>
        <w:lastRenderedPageBreak/>
        <w:t>challenges is crucial. Embracing this digital shift and collectively overcoming these obstacles will shape the future of FinTech.</w:t>
      </w:r>
    </w:p>
    <w:p w14:paraId="251BC677"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var(--wp--custom--font-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7491A"/>
    <w:rsid w:val="0017491A"/>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5635"/>
  <w15:chartTrackingRefBased/>
  <w15:docId w15:val="{15AB2BC3-DCA3-4CB5-BA2D-D44E3389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91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91A"/>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17491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7491A"/>
    <w:rPr>
      <w:color w:val="0000FF"/>
      <w:u w:val="single"/>
    </w:rPr>
  </w:style>
  <w:style w:type="character" w:styleId="Strong">
    <w:name w:val="Strong"/>
    <w:basedOn w:val="DefaultParagraphFont"/>
    <w:uiPriority w:val="22"/>
    <w:qFormat/>
    <w:rsid w:val="00174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9305">
      <w:bodyDiv w:val="1"/>
      <w:marLeft w:val="0"/>
      <w:marRight w:val="0"/>
      <w:marTop w:val="0"/>
      <w:marBottom w:val="0"/>
      <w:divBdr>
        <w:top w:val="none" w:sz="0" w:space="0" w:color="auto"/>
        <w:left w:val="none" w:sz="0" w:space="0" w:color="auto"/>
        <w:bottom w:val="none" w:sz="0" w:space="0" w:color="auto"/>
        <w:right w:val="none" w:sz="0" w:space="0" w:color="auto"/>
      </w:divBdr>
    </w:div>
    <w:div w:id="318921783">
      <w:bodyDiv w:val="1"/>
      <w:marLeft w:val="0"/>
      <w:marRight w:val="0"/>
      <w:marTop w:val="0"/>
      <w:marBottom w:val="0"/>
      <w:divBdr>
        <w:top w:val="none" w:sz="0" w:space="0" w:color="auto"/>
        <w:left w:val="none" w:sz="0" w:space="0" w:color="auto"/>
        <w:bottom w:val="none" w:sz="0" w:space="0" w:color="auto"/>
        <w:right w:val="none" w:sz="0" w:space="0" w:color="auto"/>
      </w:divBdr>
      <w:divsChild>
        <w:div w:id="150491526">
          <w:marLeft w:val="0"/>
          <w:marRight w:val="0"/>
          <w:marTop w:val="0"/>
          <w:marBottom w:val="0"/>
          <w:divBdr>
            <w:top w:val="none" w:sz="0" w:space="0" w:color="auto"/>
            <w:left w:val="none" w:sz="0" w:space="0" w:color="auto"/>
            <w:bottom w:val="none" w:sz="0" w:space="0" w:color="auto"/>
            <w:right w:val="none" w:sz="0" w:space="0" w:color="auto"/>
          </w:divBdr>
        </w:div>
        <w:div w:id="1692102374">
          <w:marLeft w:val="0"/>
          <w:marRight w:val="0"/>
          <w:marTop w:val="0"/>
          <w:marBottom w:val="0"/>
          <w:divBdr>
            <w:top w:val="none" w:sz="0" w:space="0" w:color="auto"/>
            <w:left w:val="none" w:sz="0" w:space="0" w:color="auto"/>
            <w:bottom w:val="none" w:sz="0" w:space="0" w:color="auto"/>
            <w:right w:val="none" w:sz="0" w:space="0" w:color="auto"/>
          </w:divBdr>
          <w:divsChild>
            <w:div w:id="194930728">
              <w:marLeft w:val="0"/>
              <w:marRight w:val="0"/>
              <w:marTop w:val="0"/>
              <w:marBottom w:val="0"/>
              <w:divBdr>
                <w:top w:val="none" w:sz="0" w:space="0" w:color="auto"/>
                <w:left w:val="none" w:sz="0" w:space="0" w:color="auto"/>
                <w:bottom w:val="none" w:sz="0" w:space="0" w:color="auto"/>
                <w:right w:val="none" w:sz="0" w:space="0" w:color="auto"/>
              </w:divBdr>
              <w:divsChild>
                <w:div w:id="5324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about/amazon/" TargetMode="External"/><Relationship Id="rId3" Type="http://schemas.openxmlformats.org/officeDocument/2006/relationships/webSettings" Target="webSettings.xml"/><Relationship Id="rId7" Type="http://schemas.openxmlformats.org/officeDocument/2006/relationships/hyperlink" Target="https://financialexpress.com/about/cryptocurr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express.com/about/artificial-intelligence/" TargetMode="External"/><Relationship Id="rId11" Type="http://schemas.openxmlformats.org/officeDocument/2006/relationships/theme" Target="theme/theme1.xml"/><Relationship Id="rId5" Type="http://schemas.openxmlformats.org/officeDocument/2006/relationships/hyperlink" Target="https://www.financialexpress.com/market/" TargetMode="External"/><Relationship Id="rId10" Type="http://schemas.openxmlformats.org/officeDocument/2006/relationships/fontTable" Target="fontTable.xml"/><Relationship Id="rId4" Type="http://schemas.openxmlformats.org/officeDocument/2006/relationships/hyperlink" Target="https://www.financialexpress.com/business/industry/" TargetMode="External"/><Relationship Id="rId9" Type="http://schemas.openxmlformats.org/officeDocument/2006/relationships/hyperlink" Target="https://www.financialexpress.com/about/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2024-04-02T18:52:00Z</dcterms:created>
  <dcterms:modified xsi:type="dcterms:W3CDTF">2024-04-02T19:11:00Z</dcterms:modified>
</cp:coreProperties>
</file>