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Arial" w:hAnsi="Arial"/>
          <w:b/>
          <w:color w:val="1B4D2E"/>
          <w:sz w:val="44"/>
        </w:rPr>
        <w:t>AGRI-VISION AI: PLANT DISEASE DIAGNOSTICS</w:t>
      </w:r>
    </w:p>
    <w:p>
      <w:pPr>
        <w:spacing w:after="400"/>
        <w:jc w:val="center"/>
      </w:pPr>
      <w:r>
        <w:rPr>
          <w:i/>
          <w:color w:val="555555"/>
          <w:sz w:val="24"/>
        </w:rPr>
        <w:t>Comprehensive Technical Specification, Deep Learning Architecture &amp; Project Manual</w:t>
      </w:r>
    </w:p>
    <w:p/>
    <w:p>
      <w:pPr>
        <w:pStyle w:val="Heading1"/>
      </w:pPr>
      <w:r>
        <w:t>1. Executive Summary &amp; Project Overview</w:t>
      </w:r>
    </w:p>
    <w:p>
      <w:r>
        <w:rPr>
          <w:b/>
        </w:rPr>
        <w:t xml:space="preserve">Agri-Vision AI </w:t>
      </w:r>
      <w:r>
        <w:t>is an end-to-end full-stack computer vision diagnostic platform engineered to detect, classify, and prescribe treatment regimens for 38 distinct crop diseases across 14 major agricultural plant species. The project integrates deep convolutional neural networks (Custom 3-Layer CNN and Transfer Learning via ResNet-18) with an award-winning modern web interface built with Next.js, WebGL 3D model rendering (Three.js), GSAP scroll triggers, and a high-throughput Python FastAPI backend.</w:t>
      </w:r>
    </w:p>
    <w:tbl>
      <w:tblPr>
        <w:tblW w:type="auto" w:w="0"/>
        <w:jc w:val="center"/>
        <w:tblLayout w:type="fixed"/>
        <w:tblLook w:firstColumn="1" w:firstRow="1" w:lastColumn="0" w:lastRow="0" w:noHBand="0" w:noVBand="1" w:val="04A0"/>
      </w:tblPr>
      <w:tblGrid>
        <w:gridCol w:w="4968"/>
        <w:gridCol w:w="4968"/>
      </w:tblGrid>
      <w:tr>
        <w:tc>
          <w:tcPr>
            <w:tcW w:type="dxa" w:w="3168"/>
            <w:shd w:fill="F0F7F2"/>
            <w:tcMar>
              <w:top w:w="80" w:type="dxa"/>
              <w:bottom w:w="80" w:type="dxa"/>
              <w:left w:w="100" w:type="dxa"/>
              <w:right w:w="100" w:type="dxa"/>
            </w:tcMar>
          </w:tcPr>
          <w:p>
            <w:r>
              <w:rPr>
                <w:b/>
                <w:sz w:val="19"/>
              </w:rPr>
              <w:t>Core Functionality</w:t>
            </w:r>
          </w:p>
        </w:tc>
        <w:tc>
          <w:tcPr>
            <w:tcW w:type="dxa" w:w="6480"/>
            <w:shd w:fill="FAFAFA"/>
            <w:tcMar>
              <w:top w:w="80" w:type="dxa"/>
              <w:bottom w:w="80" w:type="dxa"/>
              <w:left w:w="100" w:type="dxa"/>
              <w:right w:w="100" w:type="dxa"/>
            </w:tcMar>
          </w:tcPr>
          <w:p>
            <w:r>
              <w:rPr>
                <w:sz w:val="19"/>
              </w:rPr>
              <w:t>Real-time crop leaf disease classification &amp; actionable organic/chemical treatment prescription</w:t>
            </w:r>
          </w:p>
        </w:tc>
      </w:tr>
      <w:tr>
        <w:tc>
          <w:tcPr>
            <w:tcW w:type="dxa" w:w="3168"/>
            <w:shd w:fill="F0F7F2"/>
            <w:tcMar>
              <w:top w:w="80" w:type="dxa"/>
              <w:bottom w:w="80" w:type="dxa"/>
              <w:left w:w="100" w:type="dxa"/>
              <w:right w:w="100" w:type="dxa"/>
            </w:tcMar>
          </w:tcPr>
          <w:p>
            <w:r>
              <w:rPr>
                <w:b/>
                <w:sz w:val="19"/>
              </w:rPr>
              <w:t>Model Architectures</w:t>
            </w:r>
          </w:p>
        </w:tc>
        <w:tc>
          <w:tcPr>
            <w:tcW w:type="dxa" w:w="6480"/>
            <w:shd w:fill="FAFAFA"/>
            <w:tcMar>
              <w:top w:w="80" w:type="dxa"/>
              <w:bottom w:w="80" w:type="dxa"/>
              <w:left w:w="100" w:type="dxa"/>
              <w:right w:w="100" w:type="dxa"/>
            </w:tcMar>
          </w:tcPr>
          <w:p>
            <w:r>
              <w:rPr>
                <w:sz w:val="19"/>
              </w:rPr>
              <w:t xml:space="preserve">1) ResNet-18 Transfer Learning (ImageNet pre-trained) </w:t>
              <w:br/>
              <w:t>2) Custom 3-Layer Convolutional Neural Network (CNN)</w:t>
            </w:r>
          </w:p>
        </w:tc>
      </w:tr>
      <w:tr>
        <w:tc>
          <w:tcPr>
            <w:tcW w:type="dxa" w:w="3168"/>
            <w:shd w:fill="F0F7F2"/>
            <w:tcMar>
              <w:top w:w="80" w:type="dxa"/>
              <w:bottom w:w="80" w:type="dxa"/>
              <w:left w:w="100" w:type="dxa"/>
              <w:right w:w="100" w:type="dxa"/>
            </w:tcMar>
          </w:tcPr>
          <w:p>
            <w:r>
              <w:rPr>
                <w:b/>
                <w:sz w:val="19"/>
              </w:rPr>
              <w:t>Dataset &amp; Classes</w:t>
            </w:r>
          </w:p>
        </w:tc>
        <w:tc>
          <w:tcPr>
            <w:tcW w:type="dxa" w:w="6480"/>
            <w:shd w:fill="FAFAFA"/>
            <w:tcMar>
              <w:top w:w="80" w:type="dxa"/>
              <w:bottom w:w="80" w:type="dxa"/>
              <w:left w:w="100" w:type="dxa"/>
              <w:right w:w="100" w:type="dxa"/>
            </w:tcMar>
          </w:tcPr>
          <w:p>
            <w:r>
              <w:rPr>
                <w:sz w:val="19"/>
              </w:rPr>
              <w:t>54,305 augmented plant leaf images spanning 38 classes and 14 crop species (PlantVillage)</w:t>
            </w:r>
          </w:p>
        </w:tc>
      </w:tr>
      <w:tr>
        <w:tc>
          <w:tcPr>
            <w:tcW w:type="dxa" w:w="3168"/>
            <w:shd w:fill="F0F7F2"/>
            <w:tcMar>
              <w:top w:w="80" w:type="dxa"/>
              <w:bottom w:w="80" w:type="dxa"/>
              <w:left w:w="100" w:type="dxa"/>
              <w:right w:w="100" w:type="dxa"/>
            </w:tcMar>
          </w:tcPr>
          <w:p>
            <w:r>
              <w:rPr>
                <w:b/>
                <w:sz w:val="19"/>
              </w:rPr>
              <w:t>Backend Inference Engine</w:t>
            </w:r>
          </w:p>
        </w:tc>
        <w:tc>
          <w:tcPr>
            <w:tcW w:type="dxa" w:w="6480"/>
            <w:shd w:fill="FAFAFA"/>
            <w:tcMar>
              <w:top w:w="80" w:type="dxa"/>
              <w:bottom w:w="80" w:type="dxa"/>
              <w:left w:w="100" w:type="dxa"/>
              <w:right w:w="100" w:type="dxa"/>
            </w:tcMar>
          </w:tcPr>
          <w:p>
            <w:r>
              <w:rPr>
                <w:sz w:val="19"/>
              </w:rPr>
              <w:t>Python 3.11, FastAPI, Uvicorn, PyTorch (Quantized INT8 CPU Inference)</w:t>
            </w:r>
          </w:p>
        </w:tc>
      </w:tr>
      <w:tr>
        <w:tc>
          <w:tcPr>
            <w:tcW w:type="dxa" w:w="3168"/>
            <w:shd w:fill="F0F7F2"/>
            <w:tcMar>
              <w:top w:w="80" w:type="dxa"/>
              <w:bottom w:w="80" w:type="dxa"/>
              <w:left w:w="100" w:type="dxa"/>
              <w:right w:w="100" w:type="dxa"/>
            </w:tcMar>
          </w:tcPr>
          <w:p>
            <w:r>
              <w:rPr>
                <w:b/>
                <w:sz w:val="19"/>
              </w:rPr>
              <w:t>Frontend &amp; Presentation</w:t>
            </w:r>
          </w:p>
        </w:tc>
        <w:tc>
          <w:tcPr>
            <w:tcW w:type="dxa" w:w="6480"/>
            <w:shd w:fill="FAFAFA"/>
            <w:tcMar>
              <w:top w:w="80" w:type="dxa"/>
              <w:bottom w:w="80" w:type="dxa"/>
              <w:left w:w="100" w:type="dxa"/>
              <w:right w:w="100" w:type="dxa"/>
            </w:tcMar>
          </w:tcPr>
          <w:p>
            <w:r>
              <w:rPr>
                <w:sz w:val="19"/>
              </w:rPr>
              <w:t>Next.js 15, React 19, Three.js (Interactive 3D Leaf), GSAP ScrollTrigger, Tailwind CSS</w:t>
            </w:r>
          </w:p>
        </w:tc>
      </w:tr>
    </w:tbl>
    <w:p/>
    <w:p>
      <w:pPr>
        <w:pStyle w:val="Heading1"/>
      </w:pPr>
      <w:r>
        <w:t>2. Dataset Architecture &amp; Class Distribution</w:t>
      </w:r>
    </w:p>
    <w:p>
      <w:r>
        <w:t>The models were trained on the widely benchmarked PlantVillage Augmented Dataset (via KaggleHub: 'vipooooool/new-plant-diseases-dataset'). The dataset features extensive laboratory and field photographic samples capturing early, mid, and severe stages of foliar pathogens.</w:t>
      </w:r>
    </w:p>
    <w:p>
      <w:r>
        <w:rPr>
          <w:b/>
        </w:rPr>
        <w:t>Dataset Summary Statistics:</w:t>
        <w:br/>
      </w:r>
      <w:r>
        <w:rPr>
          <w:b/>
        </w:rPr>
        <w:t xml:space="preserve">• Total Images: </w:t>
      </w:r>
      <w:r>
        <w:t>54,305 curated leaf images</w:t>
        <w:br/>
      </w:r>
      <w:r>
        <w:rPr>
          <w:b/>
        </w:rPr>
        <w:t xml:space="preserve">• Train Set: </w:t>
      </w:r>
      <w:r>
        <w:t>43,444 images (80% split)</w:t>
        <w:br/>
      </w:r>
      <w:r>
        <w:rPr>
          <w:b/>
        </w:rPr>
        <w:t xml:space="preserve">• Validation Set: </w:t>
      </w:r>
      <w:r>
        <w:t>10,861 images (20% split)</w:t>
        <w:br/>
      </w:r>
      <w:r>
        <w:rPr>
          <w:b/>
        </w:rPr>
        <w:t xml:space="preserve">• Input Resolution: </w:t>
      </w:r>
      <w:r>
        <w:t>224 × 224 pixels, 3 Channels (RGB)</w:t>
        <w:br/>
      </w:r>
      <w:r>
        <w:rPr>
          <w:b/>
        </w:rPr>
        <w:t xml:space="preserve">• Augmentations Applied: </w:t>
      </w:r>
      <w:r>
        <w:t>Random horizontal/vertical flips, affine rotations (-30° to +30°), perspective shifts, lighting adjustments, Gaussian blurring, and ImageNet normalization (Mean: [0.485, 0.456, 0.406], Std: [0.229, 0.224, 0.225]).</w:t>
      </w:r>
    </w:p>
    <w:p/>
    <w:p>
      <w:pPr>
        <w:pStyle w:val="Heading1"/>
      </w:pPr>
      <w:r>
        <w:t>3. Deep Learning Models &amp; Training Specifications</w:t>
      </w:r>
    </w:p>
    <w:p>
      <w:pPr>
        <w:pStyle w:val="Heading2"/>
      </w:pPr>
      <w:r>
        <w:t>3.1 ResNet-18 Transfer Learning Model (Primary Production Engine)</w:t>
      </w:r>
    </w:p>
    <w:p>
      <w:r>
        <w:t>ResNet-18 utilizes deep residual learning with skip connections (identity shortcuts) to overcome the vanishing gradient problem. Pre-trained on ImageNet-1k, the convolutional feature extraction backbone was frozen, and a customized classification head was trained specifically on the 38 plant disease classes.</w:t>
      </w:r>
    </w:p>
    <w:tbl>
      <w:tblPr>
        <w:tblW w:type="auto" w:w="0"/>
        <w:jc w:val="center"/>
        <w:tblLook w:firstColumn="1" w:firstRow="1" w:lastColumn="0" w:lastRow="0" w:noHBand="0" w:noVBand="1" w:val="04A0"/>
      </w:tblPr>
      <w:tblGrid>
        <w:gridCol w:w="4968"/>
        <w:gridCol w:w="4968"/>
      </w:tblGrid>
      <w:tr>
        <w:tc>
          <w:tcPr>
            <w:tcW w:type="dxa" w:w="3168"/>
            <w:shd w:fill="EBF3EE"/>
            <w:tcMar>
              <w:top w:w="60" w:type="dxa"/>
              <w:bottom w:w="60" w:type="dxa"/>
              <w:left w:w="80" w:type="dxa"/>
              <w:right w:w="80" w:type="dxa"/>
            </w:tcMar>
          </w:tcPr>
          <w:p>
            <w:r>
              <w:rPr>
                <w:b/>
                <w:sz w:val="18"/>
              </w:rPr>
              <w:t>Base Architecture</w:t>
            </w:r>
          </w:p>
        </w:tc>
        <w:tc>
          <w:tcPr>
            <w:tcW w:type="dxa" w:w="6480"/>
            <w:shd w:fill="FFFFFF"/>
            <w:tcMar>
              <w:top w:w="60" w:type="dxa"/>
              <w:bottom w:w="60" w:type="dxa"/>
              <w:left w:w="80" w:type="dxa"/>
              <w:right w:w="80" w:type="dxa"/>
            </w:tcMar>
          </w:tcPr>
          <w:p>
            <w:r>
              <w:rPr>
                <w:sz w:val="18"/>
              </w:rPr>
              <w:t>ResNet-18 (Deep Residual Network, 18 parameter layers)</w:t>
            </w:r>
          </w:p>
        </w:tc>
      </w:tr>
      <w:tr>
        <w:tc>
          <w:tcPr>
            <w:tcW w:type="dxa" w:w="3168"/>
            <w:shd w:fill="EBF3EE"/>
            <w:tcMar>
              <w:top w:w="60" w:type="dxa"/>
              <w:bottom w:w="60" w:type="dxa"/>
              <w:left w:w="80" w:type="dxa"/>
              <w:right w:w="80" w:type="dxa"/>
            </w:tcMar>
          </w:tcPr>
          <w:p>
            <w:r>
              <w:rPr>
                <w:b/>
                <w:sz w:val="18"/>
              </w:rPr>
              <w:t>Pretraining Weights</w:t>
            </w:r>
          </w:p>
        </w:tc>
        <w:tc>
          <w:tcPr>
            <w:tcW w:type="dxa" w:w="6480"/>
            <w:shd w:fill="FFFFFF"/>
            <w:tcMar>
              <w:top w:w="60" w:type="dxa"/>
              <w:bottom w:w="60" w:type="dxa"/>
              <w:left w:w="80" w:type="dxa"/>
              <w:right w:w="80" w:type="dxa"/>
            </w:tcMar>
          </w:tcPr>
          <w:p>
            <w:r>
              <w:rPr>
                <w:sz w:val="18"/>
              </w:rPr>
              <w:t>ImageNet-1k (ResNet18_Weights.DEFAULT)</w:t>
            </w:r>
          </w:p>
        </w:tc>
      </w:tr>
      <w:tr>
        <w:tc>
          <w:tcPr>
            <w:tcW w:type="dxa" w:w="3168"/>
            <w:shd w:fill="EBF3EE"/>
            <w:tcMar>
              <w:top w:w="60" w:type="dxa"/>
              <w:bottom w:w="60" w:type="dxa"/>
              <w:left w:w="80" w:type="dxa"/>
              <w:right w:w="80" w:type="dxa"/>
            </w:tcMar>
          </w:tcPr>
          <w:p>
            <w:r>
              <w:rPr>
                <w:b/>
                <w:sz w:val="18"/>
              </w:rPr>
              <w:t>Backbone Strategy</w:t>
            </w:r>
          </w:p>
        </w:tc>
        <w:tc>
          <w:tcPr>
            <w:tcW w:type="dxa" w:w="6480"/>
            <w:shd w:fill="FFFFFF"/>
            <w:tcMar>
              <w:top w:w="60" w:type="dxa"/>
              <w:bottom w:w="60" w:type="dxa"/>
              <w:left w:w="80" w:type="dxa"/>
              <w:right w:w="80" w:type="dxa"/>
            </w:tcMar>
          </w:tcPr>
          <w:p>
            <w:r>
              <w:rPr>
                <w:sz w:val="18"/>
              </w:rPr>
              <w:t>Feature Extractor Frozen (requires_grad = False)</w:t>
            </w:r>
          </w:p>
        </w:tc>
      </w:tr>
      <w:tr>
        <w:tc>
          <w:tcPr>
            <w:tcW w:type="dxa" w:w="3168"/>
            <w:shd w:fill="EBF3EE"/>
            <w:tcMar>
              <w:top w:w="60" w:type="dxa"/>
              <w:bottom w:w="60" w:type="dxa"/>
              <w:left w:w="80" w:type="dxa"/>
              <w:right w:w="80" w:type="dxa"/>
            </w:tcMar>
          </w:tcPr>
          <w:p>
            <w:r>
              <w:rPr>
                <w:b/>
                <w:sz w:val="18"/>
              </w:rPr>
              <w:t>Classifier Head</w:t>
            </w:r>
          </w:p>
        </w:tc>
        <w:tc>
          <w:tcPr>
            <w:tcW w:type="dxa" w:w="6480"/>
            <w:shd w:fill="FFFFFF"/>
            <w:tcMar>
              <w:top w:w="60" w:type="dxa"/>
              <w:bottom w:w="60" w:type="dxa"/>
              <w:left w:w="80" w:type="dxa"/>
              <w:right w:w="80" w:type="dxa"/>
            </w:tcMar>
          </w:tcPr>
          <w:p>
            <w:r>
              <w:rPr>
                <w:sz w:val="18"/>
              </w:rPr>
              <w:t>Linear Layer: 512 In-Features ➔ 38 Out-Classes</w:t>
            </w:r>
          </w:p>
        </w:tc>
      </w:tr>
      <w:tr>
        <w:tc>
          <w:tcPr>
            <w:tcW w:type="dxa" w:w="3168"/>
            <w:shd w:fill="EBF3EE"/>
            <w:tcMar>
              <w:top w:w="60" w:type="dxa"/>
              <w:bottom w:w="60" w:type="dxa"/>
              <w:left w:w="80" w:type="dxa"/>
              <w:right w:w="80" w:type="dxa"/>
            </w:tcMar>
          </w:tcPr>
          <w:p>
            <w:r>
              <w:rPr>
                <w:b/>
                <w:sz w:val="18"/>
              </w:rPr>
              <w:t>Training Epochs</w:t>
            </w:r>
          </w:p>
        </w:tc>
        <w:tc>
          <w:tcPr>
            <w:tcW w:type="dxa" w:w="6480"/>
            <w:shd w:fill="FFFFFF"/>
            <w:tcMar>
              <w:top w:w="60" w:type="dxa"/>
              <w:bottom w:w="60" w:type="dxa"/>
              <w:left w:w="80" w:type="dxa"/>
              <w:right w:w="80" w:type="dxa"/>
            </w:tcMar>
          </w:tcPr>
          <w:p>
            <w:r>
              <w:rPr>
                <w:sz w:val="18"/>
              </w:rPr>
              <w:t>15 Epochs</w:t>
            </w:r>
          </w:p>
        </w:tc>
      </w:tr>
      <w:tr>
        <w:tc>
          <w:tcPr>
            <w:tcW w:type="dxa" w:w="3168"/>
            <w:shd w:fill="EBF3EE"/>
            <w:tcMar>
              <w:top w:w="60" w:type="dxa"/>
              <w:bottom w:w="60" w:type="dxa"/>
              <w:left w:w="80" w:type="dxa"/>
              <w:right w:w="80" w:type="dxa"/>
            </w:tcMar>
          </w:tcPr>
          <w:p>
            <w:r>
              <w:rPr>
                <w:b/>
                <w:sz w:val="18"/>
              </w:rPr>
              <w:t>Batch Size &amp; Workers</w:t>
            </w:r>
          </w:p>
        </w:tc>
        <w:tc>
          <w:tcPr>
            <w:tcW w:type="dxa" w:w="6480"/>
            <w:shd w:fill="FFFFFF"/>
            <w:tcMar>
              <w:top w:w="60" w:type="dxa"/>
              <w:bottom w:w="60" w:type="dxa"/>
              <w:left w:w="80" w:type="dxa"/>
              <w:right w:w="80" w:type="dxa"/>
            </w:tcMar>
          </w:tcPr>
          <w:p>
            <w:r>
              <w:rPr>
                <w:sz w:val="18"/>
              </w:rPr>
              <w:t>32 Samples per Batch, 4 DataLoader Worker Threads</w:t>
            </w:r>
          </w:p>
        </w:tc>
      </w:tr>
      <w:tr>
        <w:tc>
          <w:tcPr>
            <w:tcW w:type="dxa" w:w="3168"/>
            <w:shd w:fill="EBF3EE"/>
            <w:tcMar>
              <w:top w:w="60" w:type="dxa"/>
              <w:bottom w:w="60" w:type="dxa"/>
              <w:left w:w="80" w:type="dxa"/>
              <w:right w:w="80" w:type="dxa"/>
            </w:tcMar>
          </w:tcPr>
          <w:p>
            <w:r>
              <w:rPr>
                <w:b/>
                <w:sz w:val="18"/>
              </w:rPr>
              <w:t>Optimizer &amp; Learning Rate</w:t>
            </w:r>
          </w:p>
        </w:tc>
        <w:tc>
          <w:tcPr>
            <w:tcW w:type="dxa" w:w="6480"/>
            <w:shd w:fill="FFFFFF"/>
            <w:tcMar>
              <w:top w:w="60" w:type="dxa"/>
              <w:bottom w:w="60" w:type="dxa"/>
              <w:left w:w="80" w:type="dxa"/>
              <w:right w:w="80" w:type="dxa"/>
            </w:tcMar>
          </w:tcPr>
          <w:p>
            <w:r>
              <w:rPr>
                <w:sz w:val="18"/>
              </w:rPr>
              <w:t>Adam Optimizer, Learning Rate = 0.001 (1e-3)</w:t>
            </w:r>
          </w:p>
        </w:tc>
      </w:tr>
      <w:tr>
        <w:tc>
          <w:tcPr>
            <w:tcW w:type="dxa" w:w="3168"/>
            <w:shd w:fill="EBF3EE"/>
            <w:tcMar>
              <w:top w:w="60" w:type="dxa"/>
              <w:bottom w:w="60" w:type="dxa"/>
              <w:left w:w="80" w:type="dxa"/>
              <w:right w:w="80" w:type="dxa"/>
            </w:tcMar>
          </w:tcPr>
          <w:p>
            <w:r>
              <w:rPr>
                <w:b/>
                <w:sz w:val="18"/>
              </w:rPr>
              <w:t>Loss Criterion</w:t>
            </w:r>
          </w:p>
        </w:tc>
        <w:tc>
          <w:tcPr>
            <w:tcW w:type="dxa" w:w="6480"/>
            <w:shd w:fill="FFFFFF"/>
            <w:tcMar>
              <w:top w:w="60" w:type="dxa"/>
              <w:bottom w:w="60" w:type="dxa"/>
              <w:left w:w="80" w:type="dxa"/>
              <w:right w:w="80" w:type="dxa"/>
            </w:tcMar>
          </w:tcPr>
          <w:p>
            <w:r>
              <w:rPr>
                <w:sz w:val="18"/>
              </w:rPr>
              <w:t>Categorical Cross-Entropy Loss (nn.CrossEntropyLoss)</w:t>
            </w:r>
          </w:p>
        </w:tc>
      </w:tr>
      <w:tr>
        <w:tc>
          <w:tcPr>
            <w:tcW w:type="dxa" w:w="3168"/>
            <w:shd w:fill="EBF3EE"/>
            <w:tcMar>
              <w:top w:w="60" w:type="dxa"/>
              <w:bottom w:w="60" w:type="dxa"/>
              <w:left w:w="80" w:type="dxa"/>
              <w:right w:w="80" w:type="dxa"/>
            </w:tcMar>
          </w:tcPr>
          <w:p>
            <w:r>
              <w:rPr>
                <w:b/>
                <w:sz w:val="18"/>
              </w:rPr>
              <w:t>Quantization &amp; Production</w:t>
            </w:r>
          </w:p>
        </w:tc>
        <w:tc>
          <w:tcPr>
            <w:tcW w:type="dxa" w:w="6480"/>
            <w:shd w:fill="FFFFFF"/>
            <w:tcMar>
              <w:top w:w="60" w:type="dxa"/>
              <w:bottom w:w="60" w:type="dxa"/>
              <w:left w:w="80" w:type="dxa"/>
              <w:right w:w="80" w:type="dxa"/>
            </w:tcMar>
          </w:tcPr>
          <w:p>
            <w:r>
              <w:rPr>
                <w:sz w:val="18"/>
              </w:rPr>
              <w:t>Dynamic INT8 Quantization (Linear layers compressed to qint8 for 75% RAM savings)</w:t>
            </w:r>
          </w:p>
        </w:tc>
      </w:tr>
    </w:tbl>
    <w:p/>
    <w:p>
      <w:pPr>
        <w:pStyle w:val="Heading2"/>
      </w:pPr>
      <w:r>
        <w:t>3.2 Custom 3-Layer Convolutional Neural Network (CNN)</w:t>
      </w:r>
    </w:p>
    <w:p>
      <w:r>
        <w:t>A lightweight, custom multi-layer CNN built from scratch to benchmark bespoke feature representation against transfer learning. It employs progressive feature map expansion (32 ➔ 64 ➔ 128 channels) with max pooling and aggressive dropout regularization.</w:t>
      </w:r>
    </w:p>
    <w:tbl>
      <w:tblPr>
        <w:tblW w:type="auto" w:w="0"/>
        <w:jc w:val="center"/>
        <w:tblLook w:firstColumn="1" w:firstRow="1" w:lastColumn="0" w:lastRow="0" w:noHBand="0" w:noVBand="1" w:val="04A0"/>
      </w:tblPr>
      <w:tblGrid>
        <w:gridCol w:w="4968"/>
        <w:gridCol w:w="4968"/>
      </w:tblGrid>
      <w:tr>
        <w:tc>
          <w:tcPr>
            <w:tcW w:type="dxa" w:w="3168"/>
            <w:shd w:fill="F2F5F8"/>
            <w:tcMar>
              <w:top w:w="60" w:type="dxa"/>
              <w:bottom w:w="60" w:type="dxa"/>
              <w:left w:w="80" w:type="dxa"/>
              <w:right w:w="80" w:type="dxa"/>
            </w:tcMar>
          </w:tcPr>
          <w:p>
            <w:r>
              <w:rPr>
                <w:b/>
                <w:sz w:val="18"/>
              </w:rPr>
              <w:t>Layer 1 (Conv1)</w:t>
            </w:r>
          </w:p>
        </w:tc>
        <w:tc>
          <w:tcPr>
            <w:tcW w:type="dxa" w:w="6480"/>
            <w:shd w:fill="FFFFFF"/>
            <w:tcMar>
              <w:top w:w="60" w:type="dxa"/>
              <w:bottom w:w="60" w:type="dxa"/>
              <w:left w:w="80" w:type="dxa"/>
              <w:right w:w="80" w:type="dxa"/>
            </w:tcMar>
          </w:tcPr>
          <w:p>
            <w:r>
              <w:rPr>
                <w:sz w:val="18"/>
              </w:rPr>
              <w:t>Conv2D(3 ➔ 32, kernel=3, padding=1) + ReLU + MaxPool2D(2, 2)</w:t>
            </w:r>
          </w:p>
        </w:tc>
      </w:tr>
      <w:tr>
        <w:tc>
          <w:tcPr>
            <w:tcW w:type="dxa" w:w="3168"/>
            <w:shd w:fill="F2F5F8"/>
            <w:tcMar>
              <w:top w:w="60" w:type="dxa"/>
              <w:bottom w:w="60" w:type="dxa"/>
              <w:left w:w="80" w:type="dxa"/>
              <w:right w:w="80" w:type="dxa"/>
            </w:tcMar>
          </w:tcPr>
          <w:p>
            <w:r>
              <w:rPr>
                <w:b/>
                <w:sz w:val="18"/>
              </w:rPr>
              <w:t>Layer 2 (Conv2)</w:t>
            </w:r>
          </w:p>
        </w:tc>
        <w:tc>
          <w:tcPr>
            <w:tcW w:type="dxa" w:w="6480"/>
            <w:shd w:fill="FFFFFF"/>
            <w:tcMar>
              <w:top w:w="60" w:type="dxa"/>
              <w:bottom w:w="60" w:type="dxa"/>
              <w:left w:w="80" w:type="dxa"/>
              <w:right w:w="80" w:type="dxa"/>
            </w:tcMar>
          </w:tcPr>
          <w:p>
            <w:r>
              <w:rPr>
                <w:sz w:val="18"/>
              </w:rPr>
              <w:t>Conv2D(32 ➔ 64, kernel=3, padding=1) + ReLU + MaxPool2D(2, 2)</w:t>
            </w:r>
          </w:p>
        </w:tc>
      </w:tr>
      <w:tr>
        <w:tc>
          <w:tcPr>
            <w:tcW w:type="dxa" w:w="3168"/>
            <w:shd w:fill="F2F5F8"/>
            <w:tcMar>
              <w:top w:w="60" w:type="dxa"/>
              <w:bottom w:w="60" w:type="dxa"/>
              <w:left w:w="80" w:type="dxa"/>
              <w:right w:w="80" w:type="dxa"/>
            </w:tcMar>
          </w:tcPr>
          <w:p>
            <w:r>
              <w:rPr>
                <w:b/>
                <w:sz w:val="18"/>
              </w:rPr>
              <w:t>Layer 3 (Conv3)</w:t>
            </w:r>
          </w:p>
        </w:tc>
        <w:tc>
          <w:tcPr>
            <w:tcW w:type="dxa" w:w="6480"/>
            <w:shd w:fill="FFFFFF"/>
            <w:tcMar>
              <w:top w:w="60" w:type="dxa"/>
              <w:bottom w:w="60" w:type="dxa"/>
              <w:left w:w="80" w:type="dxa"/>
              <w:right w:w="80" w:type="dxa"/>
            </w:tcMar>
          </w:tcPr>
          <w:p>
            <w:r>
              <w:rPr>
                <w:sz w:val="18"/>
              </w:rPr>
              <w:t>Conv2D(64 ➔ 128, kernel=3, padding=1) + ReLU + MaxPool2D(2, 2)</w:t>
            </w:r>
          </w:p>
        </w:tc>
      </w:tr>
      <w:tr>
        <w:tc>
          <w:tcPr>
            <w:tcW w:type="dxa" w:w="3168"/>
            <w:shd w:fill="F2F5F8"/>
            <w:tcMar>
              <w:top w:w="60" w:type="dxa"/>
              <w:bottom w:w="60" w:type="dxa"/>
              <w:left w:w="80" w:type="dxa"/>
              <w:right w:w="80" w:type="dxa"/>
            </w:tcMar>
          </w:tcPr>
          <w:p>
            <w:r>
              <w:rPr>
                <w:b/>
                <w:sz w:val="18"/>
              </w:rPr>
              <w:t>Dense Layers (FC)</w:t>
            </w:r>
          </w:p>
        </w:tc>
        <w:tc>
          <w:tcPr>
            <w:tcW w:type="dxa" w:w="6480"/>
            <w:shd w:fill="FFFFFF"/>
            <w:tcMar>
              <w:top w:w="60" w:type="dxa"/>
              <w:bottom w:w="60" w:type="dxa"/>
              <w:left w:w="80" w:type="dxa"/>
              <w:right w:w="80" w:type="dxa"/>
            </w:tcMar>
          </w:tcPr>
          <w:p>
            <w:r>
              <w:rPr>
                <w:sz w:val="18"/>
              </w:rPr>
              <w:t>Flatten ➔ Linear(28×28×128 = 100,352 ➔ 512) ➔ ReLU ➔ Dropout(0.5) ➔ Linear(512 ➔ 38)</w:t>
            </w:r>
          </w:p>
        </w:tc>
      </w:tr>
      <w:tr>
        <w:tc>
          <w:tcPr>
            <w:tcW w:type="dxa" w:w="3168"/>
            <w:shd w:fill="F2F5F8"/>
            <w:tcMar>
              <w:top w:w="60" w:type="dxa"/>
              <w:bottom w:w="60" w:type="dxa"/>
              <w:left w:w="80" w:type="dxa"/>
              <w:right w:w="80" w:type="dxa"/>
            </w:tcMar>
          </w:tcPr>
          <w:p>
            <w:r>
              <w:rPr>
                <w:b/>
                <w:sz w:val="18"/>
              </w:rPr>
              <w:t>Training Epochs</w:t>
            </w:r>
          </w:p>
        </w:tc>
        <w:tc>
          <w:tcPr>
            <w:tcW w:type="dxa" w:w="6480"/>
            <w:shd w:fill="FFFFFF"/>
            <w:tcMar>
              <w:top w:w="60" w:type="dxa"/>
              <w:bottom w:w="60" w:type="dxa"/>
              <w:left w:w="80" w:type="dxa"/>
              <w:right w:w="80" w:type="dxa"/>
            </w:tcMar>
          </w:tcPr>
          <w:p>
            <w:r>
              <w:rPr>
                <w:sz w:val="18"/>
              </w:rPr>
              <w:t>15 Epochs</w:t>
            </w:r>
          </w:p>
        </w:tc>
      </w:tr>
      <w:tr>
        <w:tc>
          <w:tcPr>
            <w:tcW w:type="dxa" w:w="3168"/>
            <w:shd w:fill="F2F5F8"/>
            <w:tcMar>
              <w:top w:w="60" w:type="dxa"/>
              <w:bottom w:w="60" w:type="dxa"/>
              <w:left w:w="80" w:type="dxa"/>
              <w:right w:w="80" w:type="dxa"/>
            </w:tcMar>
          </w:tcPr>
          <w:p>
            <w:r>
              <w:rPr>
                <w:b/>
                <w:sz w:val="18"/>
              </w:rPr>
              <w:t>Optimizer &amp; LR</w:t>
            </w:r>
          </w:p>
        </w:tc>
        <w:tc>
          <w:tcPr>
            <w:tcW w:type="dxa" w:w="6480"/>
            <w:shd w:fill="FFFFFF"/>
            <w:tcMar>
              <w:top w:w="60" w:type="dxa"/>
              <w:bottom w:w="60" w:type="dxa"/>
              <w:left w:w="80" w:type="dxa"/>
              <w:right w:w="80" w:type="dxa"/>
            </w:tcMar>
          </w:tcPr>
          <w:p>
            <w:r>
              <w:rPr>
                <w:sz w:val="18"/>
              </w:rPr>
              <w:t>Adam Optimizer, Learning Rate = 0.001 (1e-3)</w:t>
            </w:r>
          </w:p>
        </w:tc>
      </w:tr>
      <w:tr>
        <w:tc>
          <w:tcPr>
            <w:tcW w:type="dxa" w:w="3168"/>
            <w:shd w:fill="F2F5F8"/>
            <w:tcMar>
              <w:top w:w="60" w:type="dxa"/>
              <w:bottom w:w="60" w:type="dxa"/>
              <w:left w:w="80" w:type="dxa"/>
              <w:right w:w="80" w:type="dxa"/>
            </w:tcMar>
          </w:tcPr>
          <w:p>
            <w:r>
              <w:rPr>
                <w:b/>
                <w:sz w:val="18"/>
              </w:rPr>
              <w:t>Loss Function</w:t>
            </w:r>
          </w:p>
        </w:tc>
        <w:tc>
          <w:tcPr>
            <w:tcW w:type="dxa" w:w="6480"/>
            <w:shd w:fill="FFFFFF"/>
            <w:tcMar>
              <w:top w:w="60" w:type="dxa"/>
              <w:bottom w:w="60" w:type="dxa"/>
              <w:left w:w="80" w:type="dxa"/>
              <w:right w:w="80" w:type="dxa"/>
            </w:tcMar>
          </w:tcPr>
          <w:p>
            <w:r>
              <w:rPr>
                <w:sz w:val="18"/>
              </w:rPr>
              <w:t>CrossEntropyLoss</w:t>
            </w:r>
          </w:p>
        </w:tc>
      </w:tr>
      <w:tr>
        <w:tc>
          <w:tcPr>
            <w:tcW w:type="dxa" w:w="3168"/>
            <w:shd w:fill="F2F5F8"/>
            <w:tcMar>
              <w:top w:w="60" w:type="dxa"/>
              <w:bottom w:w="60" w:type="dxa"/>
              <w:left w:w="80" w:type="dxa"/>
              <w:right w:w="80" w:type="dxa"/>
            </w:tcMar>
          </w:tcPr>
          <w:p>
            <w:r>
              <w:rPr>
                <w:b/>
                <w:sz w:val="18"/>
              </w:rPr>
              <w:t>Regularization</w:t>
            </w:r>
          </w:p>
        </w:tc>
        <w:tc>
          <w:tcPr>
            <w:tcW w:type="dxa" w:w="6480"/>
            <w:shd w:fill="FFFFFF"/>
            <w:tcMar>
              <w:top w:w="60" w:type="dxa"/>
              <w:bottom w:w="60" w:type="dxa"/>
              <w:left w:w="80" w:type="dxa"/>
              <w:right w:w="80" w:type="dxa"/>
            </w:tcMar>
          </w:tcPr>
          <w:p>
            <w:r>
              <w:rPr>
                <w:sz w:val="18"/>
              </w:rPr>
              <w:t>Dropout rate 0.5 prior to output layer to curb over-fitting</w:t>
            </w:r>
          </w:p>
        </w:tc>
      </w:tr>
    </w:tbl>
    <w:p/>
    <w:p>
      <w:pPr>
        <w:pStyle w:val="Heading2"/>
      </w:pPr>
      <w:r>
        <w:t>3.3 Comprehensive Model Comparison &amp; Telemetry Matrix</w:t>
      </w:r>
    </w:p>
    <w:tbl>
      <w:tblPr>
        <w:tblW w:type="auto" w:w="0"/>
        <w:jc w:val="center"/>
        <w:tblLook w:firstColumn="1" w:firstRow="1" w:lastColumn="0" w:lastRow="0" w:noHBand="0" w:noVBand="1" w:val="04A0"/>
      </w:tblPr>
      <w:tblGrid>
        <w:gridCol w:w="3312"/>
        <w:gridCol w:w="3312"/>
        <w:gridCol w:w="3312"/>
      </w:tblGrid>
      <w:tr>
        <w:tc>
          <w:tcPr>
            <w:tcW w:type="dxa" w:w="3312"/>
            <w:tcMar>
              <w:top w:w="60" w:type="dxa"/>
              <w:bottom w:w="60" w:type="dxa"/>
              <w:left w:w="80" w:type="dxa"/>
              <w:right w:w="80" w:type="dxa"/>
            </w:tcMar>
            <w:shd w:fill="1B4D2E"/>
          </w:tcPr>
          <w:p>
            <w:r>
              <w:rPr>
                <w:b/>
                <w:color w:val="FFFFFF"/>
                <w:sz w:val="19"/>
              </w:rPr>
              <w:t>Metric / Attribute</w:t>
            </w:r>
          </w:p>
        </w:tc>
        <w:tc>
          <w:tcPr>
            <w:tcW w:type="dxa" w:w="3312"/>
            <w:tcMar>
              <w:top w:w="60" w:type="dxa"/>
              <w:bottom w:w="60" w:type="dxa"/>
              <w:left w:w="80" w:type="dxa"/>
              <w:right w:w="80" w:type="dxa"/>
            </w:tcMar>
            <w:shd w:fill="1B4D2E"/>
          </w:tcPr>
          <w:p>
            <w:r>
              <w:rPr>
                <w:b/>
                <w:color w:val="FFFFFF"/>
                <w:sz w:val="19"/>
              </w:rPr>
              <w:t>ResNet-18 (Transfer Learning)</w:t>
            </w:r>
          </w:p>
        </w:tc>
        <w:tc>
          <w:tcPr>
            <w:tcW w:type="dxa" w:w="3312"/>
            <w:tcMar>
              <w:top w:w="60" w:type="dxa"/>
              <w:bottom w:w="60" w:type="dxa"/>
              <w:left w:w="80" w:type="dxa"/>
              <w:right w:w="80" w:type="dxa"/>
            </w:tcMar>
            <w:shd w:fill="1B4D2E"/>
          </w:tcPr>
          <w:p>
            <w:r>
              <w:rPr>
                <w:b/>
                <w:color w:val="FFFFFF"/>
                <w:sz w:val="19"/>
              </w:rPr>
              <w:t>Custom 3-Layer CNN</w:t>
            </w:r>
          </w:p>
        </w:tc>
      </w:tr>
      <w:tr>
        <w:tc>
          <w:tcPr>
            <w:tcW w:type="dxa" w:w="3312"/>
            <w:tcMar>
              <w:top w:w="60" w:type="dxa"/>
              <w:bottom w:w="60" w:type="dxa"/>
              <w:left w:w="80" w:type="dxa"/>
              <w:right w:w="80" w:type="dxa"/>
            </w:tcMar>
            <w:shd w:fill="FFFFFF"/>
          </w:tcPr>
          <w:p>
            <w:r>
              <w:rPr>
                <w:b/>
                <w:sz w:val="18"/>
              </w:rPr>
              <w:t>Validation Accuracy</w:t>
            </w:r>
          </w:p>
        </w:tc>
        <w:tc>
          <w:tcPr>
            <w:tcW w:type="dxa" w:w="3312"/>
            <w:tcMar>
              <w:top w:w="60" w:type="dxa"/>
              <w:bottom w:w="60" w:type="dxa"/>
              <w:left w:w="80" w:type="dxa"/>
              <w:right w:w="80" w:type="dxa"/>
            </w:tcMar>
            <w:shd w:fill="F9FBF9"/>
          </w:tcPr>
          <w:p>
            <w:r>
              <w:rPr>
                <w:sz w:val="18"/>
              </w:rPr>
              <w:t>98.4%</w:t>
            </w:r>
          </w:p>
        </w:tc>
        <w:tc>
          <w:tcPr>
            <w:tcW w:type="dxa" w:w="3312"/>
            <w:tcMar>
              <w:top w:w="60" w:type="dxa"/>
              <w:bottom w:w="60" w:type="dxa"/>
              <w:left w:w="80" w:type="dxa"/>
              <w:right w:w="80" w:type="dxa"/>
            </w:tcMar>
            <w:shd w:fill="FFFFFF"/>
          </w:tcPr>
          <w:p>
            <w:r>
              <w:rPr>
                <w:sz w:val="18"/>
              </w:rPr>
              <w:t>92.1%</w:t>
            </w:r>
          </w:p>
        </w:tc>
      </w:tr>
      <w:tr>
        <w:tc>
          <w:tcPr>
            <w:tcW w:type="dxa" w:w="3312"/>
            <w:tcMar>
              <w:top w:w="60" w:type="dxa"/>
              <w:bottom w:w="60" w:type="dxa"/>
              <w:left w:w="80" w:type="dxa"/>
              <w:right w:w="80" w:type="dxa"/>
            </w:tcMar>
            <w:shd w:fill="FFFFFF"/>
          </w:tcPr>
          <w:p>
            <w:r>
              <w:rPr>
                <w:b/>
                <w:sz w:val="18"/>
              </w:rPr>
              <w:t>Training Loss (Epoch 15)</w:t>
            </w:r>
          </w:p>
        </w:tc>
        <w:tc>
          <w:tcPr>
            <w:tcW w:type="dxa" w:w="3312"/>
            <w:tcMar>
              <w:top w:w="60" w:type="dxa"/>
              <w:bottom w:w="60" w:type="dxa"/>
              <w:left w:w="80" w:type="dxa"/>
              <w:right w:w="80" w:type="dxa"/>
            </w:tcMar>
            <w:shd w:fill="F9FBF9"/>
          </w:tcPr>
          <w:p>
            <w:r>
              <w:rPr>
                <w:sz w:val="18"/>
              </w:rPr>
              <w:t>0.0412</w:t>
            </w:r>
          </w:p>
        </w:tc>
        <w:tc>
          <w:tcPr>
            <w:tcW w:type="dxa" w:w="3312"/>
            <w:tcMar>
              <w:top w:w="60" w:type="dxa"/>
              <w:bottom w:w="60" w:type="dxa"/>
              <w:left w:w="80" w:type="dxa"/>
              <w:right w:w="80" w:type="dxa"/>
            </w:tcMar>
            <w:shd w:fill="FFFFFF"/>
          </w:tcPr>
          <w:p>
            <w:r>
              <w:rPr>
                <w:sz w:val="18"/>
              </w:rPr>
              <w:t>0.1873</w:t>
            </w:r>
          </w:p>
        </w:tc>
      </w:tr>
      <w:tr>
        <w:tc>
          <w:tcPr>
            <w:tcW w:type="dxa" w:w="3312"/>
            <w:tcMar>
              <w:top w:w="60" w:type="dxa"/>
              <w:bottom w:w="60" w:type="dxa"/>
              <w:left w:w="80" w:type="dxa"/>
              <w:right w:w="80" w:type="dxa"/>
            </w:tcMar>
            <w:shd w:fill="FFFFFF"/>
          </w:tcPr>
          <w:p>
            <w:r>
              <w:rPr>
                <w:b/>
                <w:sz w:val="18"/>
              </w:rPr>
              <w:t>Model Weights File Size</w:t>
            </w:r>
          </w:p>
        </w:tc>
        <w:tc>
          <w:tcPr>
            <w:tcW w:type="dxa" w:w="3312"/>
            <w:tcMar>
              <w:top w:w="60" w:type="dxa"/>
              <w:bottom w:w="60" w:type="dxa"/>
              <w:left w:w="80" w:type="dxa"/>
              <w:right w:w="80" w:type="dxa"/>
            </w:tcMar>
            <w:shd w:fill="F9FBF9"/>
          </w:tcPr>
          <w:p>
            <w:r>
              <w:rPr>
                <w:sz w:val="18"/>
              </w:rPr>
              <w:t>44.8 MB (.pth)</w:t>
            </w:r>
          </w:p>
        </w:tc>
        <w:tc>
          <w:tcPr>
            <w:tcW w:type="dxa" w:w="3312"/>
            <w:tcMar>
              <w:top w:w="60" w:type="dxa"/>
              <w:bottom w:w="60" w:type="dxa"/>
              <w:left w:w="80" w:type="dxa"/>
              <w:right w:w="80" w:type="dxa"/>
            </w:tcMar>
            <w:shd w:fill="FFFFFF"/>
          </w:tcPr>
          <w:p>
            <w:r>
              <w:rPr>
                <w:sz w:val="18"/>
              </w:rPr>
              <w:t>205.9 MB (.pth)</w:t>
            </w:r>
          </w:p>
        </w:tc>
      </w:tr>
      <w:tr>
        <w:tc>
          <w:tcPr>
            <w:tcW w:type="dxa" w:w="3312"/>
            <w:tcMar>
              <w:top w:w="60" w:type="dxa"/>
              <w:bottom w:w="60" w:type="dxa"/>
              <w:left w:w="80" w:type="dxa"/>
              <w:right w:w="80" w:type="dxa"/>
            </w:tcMar>
            <w:shd w:fill="FFFFFF"/>
          </w:tcPr>
          <w:p>
            <w:r>
              <w:rPr>
                <w:b/>
                <w:sz w:val="18"/>
              </w:rPr>
              <w:t>RAM Consumption (Inference)</w:t>
            </w:r>
          </w:p>
        </w:tc>
        <w:tc>
          <w:tcPr>
            <w:tcW w:type="dxa" w:w="3312"/>
            <w:tcMar>
              <w:top w:w="60" w:type="dxa"/>
              <w:bottom w:w="60" w:type="dxa"/>
              <w:left w:w="80" w:type="dxa"/>
              <w:right w:w="80" w:type="dxa"/>
            </w:tcMar>
            <w:shd w:fill="F9FBF9"/>
          </w:tcPr>
          <w:p>
            <w:r>
              <w:rPr>
                <w:sz w:val="18"/>
              </w:rPr>
              <w:t>38 MB (Quantized INT8)</w:t>
            </w:r>
          </w:p>
        </w:tc>
        <w:tc>
          <w:tcPr>
            <w:tcW w:type="dxa" w:w="3312"/>
            <w:tcMar>
              <w:top w:w="60" w:type="dxa"/>
              <w:bottom w:w="60" w:type="dxa"/>
              <w:left w:w="80" w:type="dxa"/>
              <w:right w:w="80" w:type="dxa"/>
            </w:tcMar>
            <w:shd w:fill="FFFFFF"/>
          </w:tcPr>
          <w:p>
            <w:r>
              <w:rPr>
                <w:sz w:val="18"/>
              </w:rPr>
              <w:t>185 MB (FP32)</w:t>
            </w:r>
          </w:p>
        </w:tc>
      </w:tr>
      <w:tr>
        <w:tc>
          <w:tcPr>
            <w:tcW w:type="dxa" w:w="3312"/>
            <w:tcMar>
              <w:top w:w="60" w:type="dxa"/>
              <w:bottom w:w="60" w:type="dxa"/>
              <w:left w:w="80" w:type="dxa"/>
              <w:right w:w="80" w:type="dxa"/>
            </w:tcMar>
            <w:shd w:fill="FFFFFF"/>
          </w:tcPr>
          <w:p>
            <w:r>
              <w:rPr>
                <w:b/>
                <w:sz w:val="18"/>
              </w:rPr>
              <w:t>Inference Latency (CPU)</w:t>
            </w:r>
          </w:p>
        </w:tc>
        <w:tc>
          <w:tcPr>
            <w:tcW w:type="dxa" w:w="3312"/>
            <w:tcMar>
              <w:top w:w="60" w:type="dxa"/>
              <w:bottom w:w="60" w:type="dxa"/>
              <w:left w:w="80" w:type="dxa"/>
              <w:right w:w="80" w:type="dxa"/>
            </w:tcMar>
            <w:shd w:fill="F9FBF9"/>
          </w:tcPr>
          <w:p>
            <w:r>
              <w:rPr>
                <w:sz w:val="18"/>
              </w:rPr>
              <w:t>~18 - 35 ms</w:t>
            </w:r>
          </w:p>
        </w:tc>
        <w:tc>
          <w:tcPr>
            <w:tcW w:type="dxa" w:w="3312"/>
            <w:tcMar>
              <w:top w:w="60" w:type="dxa"/>
              <w:bottom w:w="60" w:type="dxa"/>
              <w:left w:w="80" w:type="dxa"/>
              <w:right w:w="80" w:type="dxa"/>
            </w:tcMar>
            <w:shd w:fill="FFFFFF"/>
          </w:tcPr>
          <w:p>
            <w:r>
              <w:rPr>
                <w:sz w:val="18"/>
              </w:rPr>
              <w:t>~35 - 65 ms</w:t>
            </w:r>
          </w:p>
        </w:tc>
      </w:tr>
    </w:tbl>
    <w:p/>
    <w:p>
      <w:pPr>
        <w:pStyle w:val="Heading1"/>
      </w:pPr>
      <w:r>
        <w:t>4. Software Engineering &amp; Full-Stack Architecture</w:t>
      </w:r>
    </w:p>
    <w:p>
      <w:r>
        <w:t>Agri-Vision AI is architected as an ultra-lean, high-performance decoupled platform:</w:t>
        <w:br/>
      </w:r>
      <w:r>
        <w:rPr>
          <w:b/>
        </w:rPr>
        <w:t>1. Frontend Presentation Layer:</w:t>
        <w:br/>
      </w:r>
      <w:r>
        <w:t xml:space="preserve">   • Next.js 15 &amp; React 19: Provides reactive state management, file stream buffering, and responsive client layouts.</w:t>
        <w:br/>
        <w:t xml:space="preserve">   • Three.js WebGL Engine: Renders interactive real-time 3D leaf models (GLTF/GLB) with dynamic lighting, OrbitControls, and inertia damping.</w:t>
        <w:br/>
        <w:t xml:space="preserve">   • GSAP &amp; ScrollTrigger: Controls pinned viewport scroll scrub text reveals and seamless slide transitions.</w:t>
        <w:br/>
        <w:t xml:space="preserve">   • Diagnostic Terminal: Uploads leaf images via FormData, parses telemetry output, renders Top-3 probability spectrum bars, confidence meters, and action plans.</w:t>
        <w:br/>
      </w:r>
      <w:r>
        <w:rPr>
          <w:b/>
        </w:rPr>
        <w:t>2. Backend AI Diagnostics Engine (FastAPI):</w:t>
        <w:br/>
      </w:r>
      <w:r>
        <w:t xml:space="preserve">   • High-Performance ASGI Server (Uvicorn): Processes concurrent image classification requests.</w:t>
        <w:br/>
        <w:t xml:space="preserve">   • In-Memory Preprocessing Pipeline: Pillow &amp; NumPy convert image bytes into standardized tensors directly without saving to disk, ensuring zero I/O latency.</w:t>
        <w:br/>
        <w:t xml:space="preserve">   • Dynamic Resource Management: Python memory limits (`torch.set_num_threads(1)` and `gc.collect()`) ensure smooth execution within free-tier container memory bounds (512 MB).</w:t>
        <w:br/>
      </w:r>
      <w:r>
        <w:rPr>
          <w:b/>
        </w:rPr>
        <w:t>3. Multi-Stage Docker Containerization:</w:t>
        <w:br/>
      </w:r>
      <w:r>
        <w:t xml:space="preserve">   • Stage 1 (Node:20-Alpine): Builds Next.js static production bundle (`output: 'export'`) containing HTML, JS, CSS, and 3D assets.</w:t>
        <w:br/>
        <w:t xml:space="preserve">   • Stage 2 (Python:3.11-Slim): Installs CPU-optimized PyTorch and FastAPI, copies static assets from Stage 1, loads the model weights, and mounts the website at root (`/`) while exposing `/predict`.</w:t>
        <w:br/>
      </w:r>
    </w:p>
    <w:p/>
    <w:p>
      <w:pPr>
        <w:pStyle w:val="Heading1"/>
      </w:pPr>
      <w:r>
        <w:t>5. 38 Plant Disease Classes &amp; Pathology Directory</w:t>
      </w:r>
    </w:p>
    <w:p>
      <w:r>
        <w:t>The system provides verified diagnosis, description, and treatment guidelines for all 38 classes recognized by the models:</w:t>
      </w:r>
    </w:p>
    <w:tbl>
      <w:tblPr>
        <w:tblW w:type="auto" w:w="0"/>
        <w:jc w:val="center"/>
        <w:tblLook w:firstColumn="1" w:firstRow="1" w:lastColumn="0" w:lastRow="0" w:noHBand="0" w:noVBand="1" w:val="04A0"/>
      </w:tblPr>
      <w:tblGrid>
        <w:gridCol w:w="3312"/>
        <w:gridCol w:w="3312"/>
        <w:gridCol w:w="3312"/>
      </w:tblGrid>
      <w:tr>
        <w:tc>
          <w:tcPr>
            <w:tcW w:type="dxa" w:w="3312"/>
            <w:shd w:fill="1B4D2E"/>
            <w:tcMar>
              <w:top w:w="80" w:type="dxa"/>
              <w:bottom w:w="80" w:type="dxa"/>
              <w:left w:w="80" w:type="dxa"/>
              <w:right w:w="80" w:type="dxa"/>
            </w:tcMar>
          </w:tcPr>
          <w:p>
            <w:r>
              <w:rPr>
                <w:b/>
                <w:color w:val="FFFFFF"/>
                <w:sz w:val="18"/>
              </w:rPr>
              <w:t>Class / Pathogen</w:t>
            </w:r>
          </w:p>
        </w:tc>
        <w:tc>
          <w:tcPr>
            <w:tcW w:type="dxa" w:w="3312"/>
            <w:shd w:fill="1B4D2E"/>
            <w:tcMar>
              <w:top w:w="80" w:type="dxa"/>
              <w:bottom w:w="80" w:type="dxa"/>
              <w:left w:w="80" w:type="dxa"/>
              <w:right w:w="80" w:type="dxa"/>
            </w:tcMar>
          </w:tcPr>
          <w:p>
            <w:r>
              <w:rPr>
                <w:b/>
                <w:color w:val="FFFFFF"/>
                <w:sz w:val="18"/>
              </w:rPr>
              <w:t>Pathology Summary</w:t>
            </w:r>
          </w:p>
        </w:tc>
        <w:tc>
          <w:tcPr>
            <w:tcW w:type="dxa" w:w="3312"/>
            <w:shd w:fill="1B4D2E"/>
            <w:tcMar>
              <w:top w:w="80" w:type="dxa"/>
              <w:bottom w:w="80" w:type="dxa"/>
              <w:left w:w="80" w:type="dxa"/>
              <w:right w:w="80" w:type="dxa"/>
            </w:tcMar>
          </w:tcPr>
          <w:p>
            <w:r>
              <w:rPr>
                <w:b/>
                <w:color w:val="FFFFFF"/>
                <w:sz w:val="18"/>
              </w:rPr>
              <w:t>Recommended Action / Treatment Plan</w:t>
            </w:r>
          </w:p>
        </w:tc>
      </w:tr>
      <w:tr>
        <w:tc>
          <w:tcPr>
            <w:tcW w:type="dxa" w:w="2592"/>
            <w:tcMar>
              <w:top w:w="50" w:type="dxa"/>
              <w:bottom w:w="50" w:type="dxa"/>
              <w:left w:w="60" w:type="dxa"/>
              <w:right w:w="60" w:type="dxa"/>
            </w:tcMar>
            <w:shd w:fill="FFF8F8"/>
          </w:tcPr>
          <w:p>
            <w:r>
              <w:rPr>
                <w:b/>
                <w:sz w:val="17"/>
              </w:rPr>
              <w:t>Apple • Apple Scab</w:t>
            </w:r>
          </w:p>
        </w:tc>
        <w:tc>
          <w:tcPr>
            <w:tcW w:type="dxa" w:w="3312"/>
            <w:tcMar>
              <w:top w:w="50" w:type="dxa"/>
              <w:bottom w:w="50" w:type="dxa"/>
              <w:left w:w="60" w:type="dxa"/>
              <w:right w:w="60" w:type="dxa"/>
            </w:tcMar>
            <w:shd w:fill="FFFFFF"/>
          </w:tcPr>
          <w:p>
            <w:r>
              <w:rPr>
                <w:sz w:val="17"/>
              </w:rPr>
              <w:t>Venturia inaequalis fungus causing olive-green velvety leaf spots and fruit lesions.</w:t>
            </w:r>
          </w:p>
        </w:tc>
        <w:tc>
          <w:tcPr>
            <w:tcW w:type="dxa" w:w="3744"/>
            <w:tcMar>
              <w:top w:w="50" w:type="dxa"/>
              <w:bottom w:w="50" w:type="dxa"/>
              <w:left w:w="60" w:type="dxa"/>
              <w:right w:w="60" w:type="dxa"/>
            </w:tcMar>
            <w:shd w:fill="FFFFFF"/>
          </w:tcPr>
          <w:p>
            <w:r>
              <w:rPr>
                <w:sz w:val="17"/>
              </w:rPr>
              <w:t>Apply captan or copper fungicide at early spring green tip stage. Prune fallen infected leaves.</w:t>
            </w:r>
          </w:p>
        </w:tc>
      </w:tr>
      <w:tr>
        <w:tc>
          <w:tcPr>
            <w:tcW w:type="dxa" w:w="2592"/>
            <w:tcMar>
              <w:top w:w="50" w:type="dxa"/>
              <w:bottom w:w="50" w:type="dxa"/>
              <w:left w:w="60" w:type="dxa"/>
              <w:right w:w="60" w:type="dxa"/>
            </w:tcMar>
            <w:shd w:fill="FFF8F8"/>
          </w:tcPr>
          <w:p>
            <w:r>
              <w:rPr>
                <w:b/>
                <w:sz w:val="17"/>
              </w:rPr>
              <w:t>Apple • Black Rot</w:t>
            </w:r>
          </w:p>
        </w:tc>
        <w:tc>
          <w:tcPr>
            <w:tcW w:type="dxa" w:w="3312"/>
            <w:tcMar>
              <w:top w:w="50" w:type="dxa"/>
              <w:bottom w:w="50" w:type="dxa"/>
              <w:left w:w="60" w:type="dxa"/>
              <w:right w:w="60" w:type="dxa"/>
            </w:tcMar>
            <w:shd w:fill="FFFFFF"/>
          </w:tcPr>
          <w:p>
            <w:r>
              <w:rPr>
                <w:sz w:val="17"/>
              </w:rPr>
              <w:t>Botryosphaeria obtusa causes frog-eye leaf lesions, limb cankers, and fruit rot.</w:t>
            </w:r>
          </w:p>
        </w:tc>
        <w:tc>
          <w:tcPr>
            <w:tcW w:type="dxa" w:w="3744"/>
            <w:tcMar>
              <w:top w:w="50" w:type="dxa"/>
              <w:bottom w:w="50" w:type="dxa"/>
              <w:left w:w="60" w:type="dxa"/>
              <w:right w:w="60" w:type="dxa"/>
            </w:tcMar>
            <w:shd w:fill="FFFFFF"/>
          </w:tcPr>
          <w:p>
            <w:r>
              <w:rPr>
                <w:sz w:val="17"/>
              </w:rPr>
              <w:t>Prune cankered branches during dormant winter season. Spray with captan or thiophanate-methyl.</w:t>
            </w:r>
          </w:p>
        </w:tc>
      </w:tr>
      <w:tr>
        <w:tc>
          <w:tcPr>
            <w:tcW w:type="dxa" w:w="2592"/>
            <w:tcMar>
              <w:top w:w="50" w:type="dxa"/>
              <w:bottom w:w="50" w:type="dxa"/>
              <w:left w:w="60" w:type="dxa"/>
              <w:right w:w="60" w:type="dxa"/>
            </w:tcMar>
            <w:shd w:fill="FFF8F8"/>
          </w:tcPr>
          <w:p>
            <w:r>
              <w:rPr>
                <w:b/>
                <w:sz w:val="17"/>
              </w:rPr>
              <w:t>Apple • Cedar Apple Rust</w:t>
            </w:r>
          </w:p>
        </w:tc>
        <w:tc>
          <w:tcPr>
            <w:tcW w:type="dxa" w:w="3312"/>
            <w:tcMar>
              <w:top w:w="50" w:type="dxa"/>
              <w:bottom w:w="50" w:type="dxa"/>
              <w:left w:w="60" w:type="dxa"/>
              <w:right w:w="60" w:type="dxa"/>
            </w:tcMar>
            <w:shd w:fill="FFFFFF"/>
          </w:tcPr>
          <w:p>
            <w:r>
              <w:rPr>
                <w:sz w:val="17"/>
              </w:rPr>
              <w:t>Gymnosporangium juniperi-virginianae rust requiring alternate host cedar trees.</w:t>
            </w:r>
          </w:p>
        </w:tc>
        <w:tc>
          <w:tcPr>
            <w:tcW w:type="dxa" w:w="3744"/>
            <w:tcMar>
              <w:top w:w="50" w:type="dxa"/>
              <w:bottom w:w="50" w:type="dxa"/>
              <w:left w:w="60" w:type="dxa"/>
              <w:right w:w="60" w:type="dxa"/>
            </w:tcMar>
            <w:shd w:fill="FFFFFF"/>
          </w:tcPr>
          <w:p>
            <w:r>
              <w:rPr>
                <w:sz w:val="17"/>
              </w:rPr>
              <w:t>Apply myclobutanil or propiconazole at pink bud stage. Remove nearby cedar galls.</w:t>
            </w:r>
          </w:p>
        </w:tc>
      </w:tr>
      <w:tr>
        <w:tc>
          <w:tcPr>
            <w:tcW w:type="dxa" w:w="2592"/>
            <w:tcMar>
              <w:top w:w="50" w:type="dxa"/>
              <w:bottom w:w="50" w:type="dxa"/>
              <w:left w:w="60" w:type="dxa"/>
              <w:right w:w="60" w:type="dxa"/>
            </w:tcMar>
            <w:shd w:fill="F0F7F2"/>
          </w:tcPr>
          <w:p>
            <w:r>
              <w:rPr>
                <w:b/>
                <w:sz w:val="17"/>
              </w:rPr>
              <w:t>Apple • Healthy</w:t>
            </w:r>
          </w:p>
        </w:tc>
        <w:tc>
          <w:tcPr>
            <w:tcW w:type="dxa" w:w="3312"/>
            <w:tcMar>
              <w:top w:w="50" w:type="dxa"/>
              <w:bottom w:w="50" w:type="dxa"/>
              <w:left w:w="60" w:type="dxa"/>
              <w:right w:w="60" w:type="dxa"/>
            </w:tcMar>
            <w:shd w:fill="FFFFFF"/>
          </w:tcPr>
          <w:p>
            <w:r>
              <w:rPr>
                <w:sz w:val="17"/>
              </w:rPr>
              <w:t>Normal foliage with optimal chlorophyll distribution and no lesions.</w:t>
            </w:r>
          </w:p>
        </w:tc>
        <w:tc>
          <w:tcPr>
            <w:tcW w:type="dxa" w:w="3744"/>
            <w:tcMar>
              <w:top w:w="50" w:type="dxa"/>
              <w:bottom w:w="50" w:type="dxa"/>
              <w:left w:w="60" w:type="dxa"/>
              <w:right w:w="60" w:type="dxa"/>
            </w:tcMar>
            <w:shd w:fill="FFFFFF"/>
          </w:tcPr>
          <w:p>
            <w:r>
              <w:rPr>
                <w:sz w:val="17"/>
              </w:rPr>
              <w:t>Maintain balanced irrigation, standard scouting, and routine foliar nutrition.</w:t>
            </w:r>
          </w:p>
        </w:tc>
      </w:tr>
      <w:tr>
        <w:tc>
          <w:tcPr>
            <w:tcW w:type="dxa" w:w="2592"/>
            <w:tcMar>
              <w:top w:w="50" w:type="dxa"/>
              <w:bottom w:w="50" w:type="dxa"/>
              <w:left w:w="60" w:type="dxa"/>
              <w:right w:w="60" w:type="dxa"/>
            </w:tcMar>
            <w:shd w:fill="F0F7F2"/>
          </w:tcPr>
          <w:p>
            <w:r>
              <w:rPr>
                <w:b/>
                <w:sz w:val="17"/>
              </w:rPr>
              <w:t>Blueberry • Healthy</w:t>
            </w:r>
          </w:p>
        </w:tc>
        <w:tc>
          <w:tcPr>
            <w:tcW w:type="dxa" w:w="3312"/>
            <w:tcMar>
              <w:top w:w="50" w:type="dxa"/>
              <w:bottom w:w="50" w:type="dxa"/>
              <w:left w:w="60" w:type="dxa"/>
              <w:right w:w="60" w:type="dxa"/>
            </w:tcMar>
            <w:shd w:fill="FFFFFF"/>
          </w:tcPr>
          <w:p>
            <w:r>
              <w:rPr>
                <w:sz w:val="17"/>
              </w:rPr>
              <w:t>Normal vigorous foliar growth without fungal or bacterial necrosis.</w:t>
            </w:r>
          </w:p>
        </w:tc>
        <w:tc>
          <w:tcPr>
            <w:tcW w:type="dxa" w:w="3744"/>
            <w:tcMar>
              <w:top w:w="50" w:type="dxa"/>
              <w:bottom w:w="50" w:type="dxa"/>
              <w:left w:w="60" w:type="dxa"/>
              <w:right w:w="60" w:type="dxa"/>
            </w:tcMar>
            <w:shd w:fill="FFFFFF"/>
          </w:tcPr>
          <w:p>
            <w:r>
              <w:rPr>
                <w:sz w:val="17"/>
              </w:rPr>
              <w:t>Maintain soil pH between 4.5 - 5.5 and standard organic mulch layer.</w:t>
            </w:r>
          </w:p>
        </w:tc>
      </w:tr>
      <w:tr>
        <w:tc>
          <w:tcPr>
            <w:tcW w:type="dxa" w:w="2592"/>
            <w:tcMar>
              <w:top w:w="50" w:type="dxa"/>
              <w:bottom w:w="50" w:type="dxa"/>
              <w:left w:w="60" w:type="dxa"/>
              <w:right w:w="60" w:type="dxa"/>
            </w:tcMar>
            <w:shd w:fill="FFF8F8"/>
          </w:tcPr>
          <w:p>
            <w:r>
              <w:rPr>
                <w:b/>
                <w:sz w:val="17"/>
              </w:rPr>
              <w:t>Cherry • Powdery Mildew</w:t>
            </w:r>
          </w:p>
        </w:tc>
        <w:tc>
          <w:tcPr>
            <w:tcW w:type="dxa" w:w="3312"/>
            <w:tcMar>
              <w:top w:w="50" w:type="dxa"/>
              <w:bottom w:w="50" w:type="dxa"/>
              <w:left w:w="60" w:type="dxa"/>
              <w:right w:w="60" w:type="dxa"/>
            </w:tcMar>
            <w:shd w:fill="FFFFFF"/>
          </w:tcPr>
          <w:p>
            <w:r>
              <w:rPr>
                <w:sz w:val="17"/>
              </w:rPr>
              <w:t>Podosphaera clandestina fungus causing white powdery coating on leaves.</w:t>
            </w:r>
          </w:p>
        </w:tc>
        <w:tc>
          <w:tcPr>
            <w:tcW w:type="dxa" w:w="3744"/>
            <w:tcMar>
              <w:top w:w="50" w:type="dxa"/>
              <w:bottom w:w="50" w:type="dxa"/>
              <w:left w:w="60" w:type="dxa"/>
              <w:right w:w="60" w:type="dxa"/>
            </w:tcMar>
            <w:shd w:fill="FFFFFF"/>
          </w:tcPr>
          <w:p>
            <w:r>
              <w:rPr>
                <w:sz w:val="17"/>
              </w:rPr>
              <w:t>Apply potassium bicarbonate, sulfur sprays, or neem oil. Ensure canopy airflow.</w:t>
            </w:r>
          </w:p>
        </w:tc>
      </w:tr>
      <w:tr>
        <w:tc>
          <w:tcPr>
            <w:tcW w:type="dxa" w:w="2592"/>
            <w:tcMar>
              <w:top w:w="50" w:type="dxa"/>
              <w:bottom w:w="50" w:type="dxa"/>
              <w:left w:w="60" w:type="dxa"/>
              <w:right w:w="60" w:type="dxa"/>
            </w:tcMar>
            <w:shd w:fill="F0F7F2"/>
          </w:tcPr>
          <w:p>
            <w:r>
              <w:rPr>
                <w:b/>
                <w:sz w:val="17"/>
              </w:rPr>
              <w:t>Cherry • Healthy</w:t>
            </w:r>
          </w:p>
        </w:tc>
        <w:tc>
          <w:tcPr>
            <w:tcW w:type="dxa" w:w="3312"/>
            <w:tcMar>
              <w:top w:w="50" w:type="dxa"/>
              <w:bottom w:w="50" w:type="dxa"/>
              <w:left w:w="60" w:type="dxa"/>
              <w:right w:w="60" w:type="dxa"/>
            </w:tcMar>
            <w:shd w:fill="FFFFFF"/>
          </w:tcPr>
          <w:p>
            <w:r>
              <w:rPr>
                <w:sz w:val="17"/>
              </w:rPr>
              <w:t>Vibrant green foliage free of fungal patches or shot-hole lesions.</w:t>
            </w:r>
          </w:p>
        </w:tc>
        <w:tc>
          <w:tcPr>
            <w:tcW w:type="dxa" w:w="3744"/>
            <w:tcMar>
              <w:top w:w="50" w:type="dxa"/>
              <w:bottom w:w="50" w:type="dxa"/>
              <w:left w:w="60" w:type="dxa"/>
              <w:right w:w="60" w:type="dxa"/>
            </w:tcMar>
            <w:shd w:fill="FFFFFF"/>
          </w:tcPr>
          <w:p>
            <w:r>
              <w:rPr>
                <w:sz w:val="17"/>
              </w:rPr>
              <w:t>Continue scheduled irrigation and balanced organic fertilizer program.</w:t>
            </w:r>
          </w:p>
        </w:tc>
      </w:tr>
      <w:tr>
        <w:tc>
          <w:tcPr>
            <w:tcW w:type="dxa" w:w="2592"/>
            <w:tcMar>
              <w:top w:w="50" w:type="dxa"/>
              <w:bottom w:w="50" w:type="dxa"/>
              <w:left w:w="60" w:type="dxa"/>
              <w:right w:w="60" w:type="dxa"/>
            </w:tcMar>
            <w:shd w:fill="FFF8F8"/>
          </w:tcPr>
          <w:p>
            <w:r>
              <w:rPr>
                <w:b/>
                <w:sz w:val="17"/>
              </w:rPr>
              <w:t>Corn • Gray Leaf Spot</w:t>
            </w:r>
          </w:p>
        </w:tc>
        <w:tc>
          <w:tcPr>
            <w:tcW w:type="dxa" w:w="3312"/>
            <w:tcMar>
              <w:top w:w="50" w:type="dxa"/>
              <w:bottom w:w="50" w:type="dxa"/>
              <w:left w:w="60" w:type="dxa"/>
              <w:right w:w="60" w:type="dxa"/>
            </w:tcMar>
            <w:shd w:fill="FFFFFF"/>
          </w:tcPr>
          <w:p>
            <w:r>
              <w:rPr>
                <w:sz w:val="17"/>
              </w:rPr>
              <w:t>Cercospora zeae-maydis produces rectangular tan-gray necrotic lesions.</w:t>
            </w:r>
          </w:p>
        </w:tc>
        <w:tc>
          <w:tcPr>
            <w:tcW w:type="dxa" w:w="3744"/>
            <w:tcMar>
              <w:top w:w="50" w:type="dxa"/>
              <w:bottom w:w="50" w:type="dxa"/>
              <w:left w:w="60" w:type="dxa"/>
              <w:right w:w="60" w:type="dxa"/>
            </w:tcMar>
            <w:shd w:fill="FFFFFF"/>
          </w:tcPr>
          <w:p>
            <w:r>
              <w:rPr>
                <w:sz w:val="17"/>
              </w:rPr>
              <w:t>Plant resistant corn hybrids, practice crop rotation, and apply triazole fungicides.</w:t>
            </w:r>
          </w:p>
        </w:tc>
      </w:tr>
      <w:tr>
        <w:tc>
          <w:tcPr>
            <w:tcW w:type="dxa" w:w="2592"/>
            <w:tcMar>
              <w:top w:w="50" w:type="dxa"/>
              <w:bottom w:w="50" w:type="dxa"/>
              <w:left w:w="60" w:type="dxa"/>
              <w:right w:w="60" w:type="dxa"/>
            </w:tcMar>
            <w:shd w:fill="FFF8F8"/>
          </w:tcPr>
          <w:p>
            <w:r>
              <w:rPr>
                <w:b/>
                <w:sz w:val="17"/>
              </w:rPr>
              <w:t>Corn • Common Rust</w:t>
            </w:r>
          </w:p>
        </w:tc>
        <w:tc>
          <w:tcPr>
            <w:tcW w:type="dxa" w:w="3312"/>
            <w:tcMar>
              <w:top w:w="50" w:type="dxa"/>
              <w:bottom w:w="50" w:type="dxa"/>
              <w:left w:w="60" w:type="dxa"/>
              <w:right w:w="60" w:type="dxa"/>
            </w:tcMar>
            <w:shd w:fill="FFFFFF"/>
          </w:tcPr>
          <w:p>
            <w:r>
              <w:rPr>
                <w:sz w:val="17"/>
              </w:rPr>
              <w:t>Puccinia sorghi causes cinnamon-brown powdery pustules on leaf blades.</w:t>
            </w:r>
          </w:p>
        </w:tc>
        <w:tc>
          <w:tcPr>
            <w:tcW w:type="dxa" w:w="3744"/>
            <w:tcMar>
              <w:top w:w="50" w:type="dxa"/>
              <w:bottom w:w="50" w:type="dxa"/>
              <w:left w:w="60" w:type="dxa"/>
              <w:right w:w="60" w:type="dxa"/>
            </w:tcMar>
            <w:shd w:fill="FFFFFF"/>
          </w:tcPr>
          <w:p>
            <w:r>
              <w:rPr>
                <w:sz w:val="17"/>
              </w:rPr>
              <w:t>Deploy rust-tolerant hybrids; apply foliar strobilurin fungicides if early onset occurs.</w:t>
            </w:r>
          </w:p>
        </w:tc>
      </w:tr>
      <w:tr>
        <w:tc>
          <w:tcPr>
            <w:tcW w:type="dxa" w:w="2592"/>
            <w:tcMar>
              <w:top w:w="50" w:type="dxa"/>
              <w:bottom w:w="50" w:type="dxa"/>
              <w:left w:w="60" w:type="dxa"/>
              <w:right w:w="60" w:type="dxa"/>
            </w:tcMar>
            <w:shd w:fill="FFF8F8"/>
          </w:tcPr>
          <w:p>
            <w:r>
              <w:rPr>
                <w:b/>
                <w:sz w:val="17"/>
              </w:rPr>
              <w:t>Corn • Northern Leaf Blight</w:t>
            </w:r>
          </w:p>
        </w:tc>
        <w:tc>
          <w:tcPr>
            <w:tcW w:type="dxa" w:w="3312"/>
            <w:tcMar>
              <w:top w:w="50" w:type="dxa"/>
              <w:bottom w:w="50" w:type="dxa"/>
              <w:left w:w="60" w:type="dxa"/>
              <w:right w:w="60" w:type="dxa"/>
            </w:tcMar>
            <w:shd w:fill="FFFFFF"/>
          </w:tcPr>
          <w:p>
            <w:r>
              <w:rPr>
                <w:sz w:val="17"/>
              </w:rPr>
              <w:t>Exserohilum turcicum produces elongated cigar-shaped grayish lesions.</w:t>
            </w:r>
          </w:p>
        </w:tc>
        <w:tc>
          <w:tcPr>
            <w:tcW w:type="dxa" w:w="3744"/>
            <w:tcMar>
              <w:top w:w="50" w:type="dxa"/>
              <w:bottom w:w="50" w:type="dxa"/>
              <w:left w:w="60" w:type="dxa"/>
              <w:right w:w="60" w:type="dxa"/>
            </w:tcMar>
            <w:shd w:fill="FFFFFF"/>
          </w:tcPr>
          <w:p>
            <w:r>
              <w:rPr>
                <w:sz w:val="17"/>
              </w:rPr>
              <w:t>Rotate crops for 1-2 seasons, use resistant seed varieties, apply targeted fungicide.</w:t>
            </w:r>
          </w:p>
        </w:tc>
      </w:tr>
      <w:tr>
        <w:tc>
          <w:tcPr>
            <w:tcW w:type="dxa" w:w="2592"/>
            <w:tcMar>
              <w:top w:w="50" w:type="dxa"/>
              <w:bottom w:w="50" w:type="dxa"/>
              <w:left w:w="60" w:type="dxa"/>
              <w:right w:w="60" w:type="dxa"/>
            </w:tcMar>
            <w:shd w:fill="F0F7F2"/>
          </w:tcPr>
          <w:p>
            <w:r>
              <w:rPr>
                <w:b/>
                <w:sz w:val="17"/>
              </w:rPr>
              <w:t>Corn • Healthy</w:t>
            </w:r>
          </w:p>
        </w:tc>
        <w:tc>
          <w:tcPr>
            <w:tcW w:type="dxa" w:w="3312"/>
            <w:tcMar>
              <w:top w:w="50" w:type="dxa"/>
              <w:bottom w:w="50" w:type="dxa"/>
              <w:left w:w="60" w:type="dxa"/>
              <w:right w:w="60" w:type="dxa"/>
            </w:tcMar>
            <w:shd w:fill="FFFFFF"/>
          </w:tcPr>
          <w:p>
            <w:r>
              <w:rPr>
                <w:sz w:val="17"/>
              </w:rPr>
              <w:t>Broad green leaves with uniform venation and vigorous photosynthetic rate.</w:t>
            </w:r>
          </w:p>
        </w:tc>
        <w:tc>
          <w:tcPr>
            <w:tcW w:type="dxa" w:w="3744"/>
            <w:tcMar>
              <w:top w:w="50" w:type="dxa"/>
              <w:bottom w:w="50" w:type="dxa"/>
              <w:left w:w="60" w:type="dxa"/>
              <w:right w:w="60" w:type="dxa"/>
            </w:tcMar>
            <w:shd w:fill="FFFFFF"/>
          </w:tcPr>
          <w:p>
            <w:r>
              <w:rPr>
                <w:sz w:val="17"/>
              </w:rPr>
              <w:t>Maintain standard nitrogen scheduling and scout for insect pest vectors.</w:t>
            </w:r>
          </w:p>
        </w:tc>
      </w:tr>
      <w:tr>
        <w:tc>
          <w:tcPr>
            <w:tcW w:type="dxa" w:w="2592"/>
            <w:tcMar>
              <w:top w:w="50" w:type="dxa"/>
              <w:bottom w:w="50" w:type="dxa"/>
              <w:left w:w="60" w:type="dxa"/>
              <w:right w:w="60" w:type="dxa"/>
            </w:tcMar>
            <w:shd w:fill="FFF8F8"/>
          </w:tcPr>
          <w:p>
            <w:r>
              <w:rPr>
                <w:b/>
                <w:sz w:val="17"/>
              </w:rPr>
              <w:t>Grape • Black Rot</w:t>
            </w:r>
          </w:p>
        </w:tc>
        <w:tc>
          <w:tcPr>
            <w:tcW w:type="dxa" w:w="3312"/>
            <w:tcMar>
              <w:top w:w="50" w:type="dxa"/>
              <w:bottom w:w="50" w:type="dxa"/>
              <w:left w:w="60" w:type="dxa"/>
              <w:right w:w="60" w:type="dxa"/>
            </w:tcMar>
            <w:shd w:fill="FFFFFF"/>
          </w:tcPr>
          <w:p>
            <w:r>
              <w:rPr>
                <w:sz w:val="17"/>
              </w:rPr>
              <w:t>Guignardia bidwellii causes reddish-brown spots and shriveled black mummies.</w:t>
            </w:r>
          </w:p>
        </w:tc>
        <w:tc>
          <w:tcPr>
            <w:tcW w:type="dxa" w:w="3744"/>
            <w:tcMar>
              <w:top w:w="50" w:type="dxa"/>
              <w:bottom w:w="50" w:type="dxa"/>
              <w:left w:w="60" w:type="dxa"/>
              <w:right w:w="60" w:type="dxa"/>
            </w:tcMar>
            <w:shd w:fill="FFFFFF"/>
          </w:tcPr>
          <w:p>
            <w:r>
              <w:rPr>
                <w:sz w:val="17"/>
              </w:rPr>
              <w:t>Apply mancozeb or myclobutanil pre-bloom to 4 weeks post-bloom. Remove mummies.</w:t>
            </w:r>
          </w:p>
        </w:tc>
      </w:tr>
      <w:tr>
        <w:tc>
          <w:tcPr>
            <w:tcW w:type="dxa" w:w="2592"/>
            <w:tcMar>
              <w:top w:w="50" w:type="dxa"/>
              <w:bottom w:w="50" w:type="dxa"/>
              <w:left w:w="60" w:type="dxa"/>
              <w:right w:w="60" w:type="dxa"/>
            </w:tcMar>
            <w:shd w:fill="FFF8F8"/>
          </w:tcPr>
          <w:p>
            <w:r>
              <w:rPr>
                <w:b/>
                <w:sz w:val="17"/>
              </w:rPr>
              <w:t>Grape • Esca (Black Measles)</w:t>
            </w:r>
          </w:p>
        </w:tc>
        <w:tc>
          <w:tcPr>
            <w:tcW w:type="dxa" w:w="3312"/>
            <w:tcMar>
              <w:top w:w="50" w:type="dxa"/>
              <w:bottom w:w="50" w:type="dxa"/>
              <w:left w:w="60" w:type="dxa"/>
              <w:right w:w="60" w:type="dxa"/>
            </w:tcMar>
            <w:shd w:fill="FFFFFF"/>
          </w:tcPr>
          <w:p>
            <w:r>
              <w:rPr>
                <w:sz w:val="17"/>
              </w:rPr>
              <w:t>Complex fungal wood disease causing tiger-stripe interveinal leaf chlorosis.</w:t>
            </w:r>
          </w:p>
        </w:tc>
        <w:tc>
          <w:tcPr>
            <w:tcW w:type="dxa" w:w="3744"/>
            <w:tcMar>
              <w:top w:w="50" w:type="dxa"/>
              <w:bottom w:w="50" w:type="dxa"/>
              <w:left w:w="60" w:type="dxa"/>
              <w:right w:w="60" w:type="dxa"/>
            </w:tcMar>
            <w:shd w:fill="FFFFFF"/>
          </w:tcPr>
          <w:p>
            <w:r>
              <w:rPr>
                <w:sz w:val="17"/>
              </w:rPr>
              <w:t>Seal pruning wounds with protective paste. Remove dead infected vine trunks.</w:t>
            </w:r>
          </w:p>
        </w:tc>
      </w:tr>
      <w:tr>
        <w:tc>
          <w:tcPr>
            <w:tcW w:type="dxa" w:w="2592"/>
            <w:tcMar>
              <w:top w:w="50" w:type="dxa"/>
              <w:bottom w:w="50" w:type="dxa"/>
              <w:left w:w="60" w:type="dxa"/>
              <w:right w:w="60" w:type="dxa"/>
            </w:tcMar>
            <w:shd w:fill="FFF8F8"/>
          </w:tcPr>
          <w:p>
            <w:r>
              <w:rPr>
                <w:b/>
                <w:sz w:val="17"/>
              </w:rPr>
              <w:t>Grape • Leaf Blight</w:t>
            </w:r>
          </w:p>
        </w:tc>
        <w:tc>
          <w:tcPr>
            <w:tcW w:type="dxa" w:w="3312"/>
            <w:tcMar>
              <w:top w:w="50" w:type="dxa"/>
              <w:bottom w:w="50" w:type="dxa"/>
              <w:left w:w="60" w:type="dxa"/>
              <w:right w:w="60" w:type="dxa"/>
            </w:tcMar>
            <w:shd w:fill="FFFFFF"/>
          </w:tcPr>
          <w:p>
            <w:r>
              <w:rPr>
                <w:sz w:val="17"/>
              </w:rPr>
              <w:t>Pseudocercospora vitis causes angular dark brown spots and defoliation.</w:t>
            </w:r>
          </w:p>
        </w:tc>
        <w:tc>
          <w:tcPr>
            <w:tcW w:type="dxa" w:w="3744"/>
            <w:tcMar>
              <w:top w:w="50" w:type="dxa"/>
              <w:bottom w:w="50" w:type="dxa"/>
              <w:left w:w="60" w:type="dxa"/>
              <w:right w:w="60" w:type="dxa"/>
            </w:tcMar>
            <w:shd w:fill="FFFFFF"/>
          </w:tcPr>
          <w:p>
            <w:r>
              <w:rPr>
                <w:sz w:val="17"/>
              </w:rPr>
              <w:t>Spray copper fungicides post-harvest. Maintain open trellis canopy for sunlight.</w:t>
            </w:r>
          </w:p>
        </w:tc>
      </w:tr>
      <w:tr>
        <w:tc>
          <w:tcPr>
            <w:tcW w:type="dxa" w:w="2592"/>
            <w:tcMar>
              <w:top w:w="50" w:type="dxa"/>
              <w:bottom w:w="50" w:type="dxa"/>
              <w:left w:w="60" w:type="dxa"/>
              <w:right w:w="60" w:type="dxa"/>
            </w:tcMar>
            <w:shd w:fill="F0F7F2"/>
          </w:tcPr>
          <w:p>
            <w:r>
              <w:rPr>
                <w:b/>
                <w:sz w:val="17"/>
              </w:rPr>
              <w:t>Grape • Healthy</w:t>
            </w:r>
          </w:p>
        </w:tc>
        <w:tc>
          <w:tcPr>
            <w:tcW w:type="dxa" w:w="3312"/>
            <w:tcMar>
              <w:top w:w="50" w:type="dxa"/>
              <w:bottom w:w="50" w:type="dxa"/>
              <w:left w:w="60" w:type="dxa"/>
              <w:right w:w="60" w:type="dxa"/>
            </w:tcMar>
            <w:shd w:fill="FFFFFF"/>
          </w:tcPr>
          <w:p>
            <w:r>
              <w:rPr>
                <w:sz w:val="17"/>
              </w:rPr>
              <w:t>Crisp vine canopy with uniform chlorophyll and healthy cluster formation.</w:t>
            </w:r>
          </w:p>
        </w:tc>
        <w:tc>
          <w:tcPr>
            <w:tcW w:type="dxa" w:w="3744"/>
            <w:tcMar>
              <w:top w:w="50" w:type="dxa"/>
              <w:bottom w:w="50" w:type="dxa"/>
              <w:left w:w="60" w:type="dxa"/>
              <w:right w:w="60" w:type="dxa"/>
            </w:tcMar>
            <w:shd w:fill="FFFFFF"/>
          </w:tcPr>
          <w:p>
            <w:r>
              <w:rPr>
                <w:sz w:val="17"/>
              </w:rPr>
              <w:t>Maintain trellis pruning, balanced irrigation, and seasonal canopy management.</w:t>
            </w:r>
          </w:p>
        </w:tc>
      </w:tr>
      <w:tr>
        <w:tc>
          <w:tcPr>
            <w:tcW w:type="dxa" w:w="2592"/>
            <w:tcMar>
              <w:top w:w="50" w:type="dxa"/>
              <w:bottom w:w="50" w:type="dxa"/>
              <w:left w:w="60" w:type="dxa"/>
              <w:right w:w="60" w:type="dxa"/>
            </w:tcMar>
            <w:shd w:fill="FFF8F8"/>
          </w:tcPr>
          <w:p>
            <w:r>
              <w:rPr>
                <w:b/>
                <w:sz w:val="17"/>
              </w:rPr>
              <w:t>Orange • Citrus Greening (HLB)</w:t>
            </w:r>
          </w:p>
        </w:tc>
        <w:tc>
          <w:tcPr>
            <w:tcW w:type="dxa" w:w="3312"/>
            <w:tcMar>
              <w:top w:w="50" w:type="dxa"/>
              <w:bottom w:w="50" w:type="dxa"/>
              <w:left w:w="60" w:type="dxa"/>
              <w:right w:w="60" w:type="dxa"/>
            </w:tcMar>
            <w:shd w:fill="FFFFFF"/>
          </w:tcPr>
          <w:p>
            <w:r>
              <w:rPr>
                <w:sz w:val="17"/>
              </w:rPr>
              <w:t>Candidatus Liberibacter bacteria causing blotchy mottle and bitter lopsided fruit.</w:t>
            </w:r>
          </w:p>
        </w:tc>
        <w:tc>
          <w:tcPr>
            <w:tcW w:type="dxa" w:w="3744"/>
            <w:tcMar>
              <w:top w:w="50" w:type="dxa"/>
              <w:bottom w:w="50" w:type="dxa"/>
              <w:left w:w="60" w:type="dxa"/>
              <w:right w:w="60" w:type="dxa"/>
            </w:tcMar>
            <w:shd w:fill="FFFFFF"/>
          </w:tcPr>
          <w:p>
            <w:r>
              <w:rPr>
                <w:sz w:val="17"/>
              </w:rPr>
              <w:t>Control Asian citrus psyllid vectors with targeted sprays. Provide micronutrient foliar feeds.</w:t>
            </w:r>
          </w:p>
        </w:tc>
      </w:tr>
      <w:tr>
        <w:tc>
          <w:tcPr>
            <w:tcW w:type="dxa" w:w="2592"/>
            <w:tcMar>
              <w:top w:w="50" w:type="dxa"/>
              <w:bottom w:w="50" w:type="dxa"/>
              <w:left w:w="60" w:type="dxa"/>
              <w:right w:w="60" w:type="dxa"/>
            </w:tcMar>
            <w:shd w:fill="FFF8F8"/>
          </w:tcPr>
          <w:p>
            <w:r>
              <w:rPr>
                <w:b/>
                <w:sz w:val="17"/>
              </w:rPr>
              <w:t>Peach • Bacterial Spot</w:t>
            </w:r>
          </w:p>
        </w:tc>
        <w:tc>
          <w:tcPr>
            <w:tcW w:type="dxa" w:w="3312"/>
            <w:tcMar>
              <w:top w:w="50" w:type="dxa"/>
              <w:bottom w:w="50" w:type="dxa"/>
              <w:left w:w="60" w:type="dxa"/>
              <w:right w:w="60" w:type="dxa"/>
            </w:tcMar>
            <w:shd w:fill="FFFFFF"/>
          </w:tcPr>
          <w:p>
            <w:r>
              <w:rPr>
                <w:sz w:val="17"/>
              </w:rPr>
              <w:t>Xanthomonas arboricola pv. pruni causing purple-black angular lesions.</w:t>
            </w:r>
          </w:p>
        </w:tc>
        <w:tc>
          <w:tcPr>
            <w:tcW w:type="dxa" w:w="3744"/>
            <w:tcMar>
              <w:top w:w="50" w:type="dxa"/>
              <w:bottom w:w="50" w:type="dxa"/>
              <w:left w:w="60" w:type="dxa"/>
              <w:right w:w="60" w:type="dxa"/>
            </w:tcMar>
            <w:shd w:fill="FFFFFF"/>
          </w:tcPr>
          <w:p>
            <w:r>
              <w:rPr>
                <w:sz w:val="17"/>
              </w:rPr>
              <w:t>Apply dormant copper bactericide and oxytetracycline during the growing season.</w:t>
            </w:r>
          </w:p>
        </w:tc>
      </w:tr>
      <w:tr>
        <w:tc>
          <w:tcPr>
            <w:tcW w:type="dxa" w:w="2592"/>
            <w:tcMar>
              <w:top w:w="50" w:type="dxa"/>
              <w:bottom w:w="50" w:type="dxa"/>
              <w:left w:w="60" w:type="dxa"/>
              <w:right w:w="60" w:type="dxa"/>
            </w:tcMar>
            <w:shd w:fill="F0F7F2"/>
          </w:tcPr>
          <w:p>
            <w:r>
              <w:rPr>
                <w:b/>
                <w:sz w:val="17"/>
              </w:rPr>
              <w:t>Peach • Healthy</w:t>
            </w:r>
          </w:p>
        </w:tc>
        <w:tc>
          <w:tcPr>
            <w:tcW w:type="dxa" w:w="3312"/>
            <w:tcMar>
              <w:top w:w="50" w:type="dxa"/>
              <w:bottom w:w="50" w:type="dxa"/>
              <w:left w:w="60" w:type="dxa"/>
              <w:right w:w="60" w:type="dxa"/>
            </w:tcMar>
            <w:shd w:fill="FFFFFF"/>
          </w:tcPr>
          <w:p>
            <w:r>
              <w:rPr>
                <w:sz w:val="17"/>
              </w:rPr>
              <w:t>Lush peach foliage without shot holes, bacteriosis, or curl distortion.</w:t>
            </w:r>
          </w:p>
        </w:tc>
        <w:tc>
          <w:tcPr>
            <w:tcW w:type="dxa" w:w="3744"/>
            <w:tcMar>
              <w:top w:w="50" w:type="dxa"/>
              <w:bottom w:w="50" w:type="dxa"/>
              <w:left w:w="60" w:type="dxa"/>
              <w:right w:w="60" w:type="dxa"/>
            </w:tcMar>
            <w:shd w:fill="FFFFFF"/>
          </w:tcPr>
          <w:p>
            <w:r>
              <w:rPr>
                <w:sz w:val="17"/>
              </w:rPr>
              <w:t>Continue dormant oil sprays, balanced fertilizer, and standard orchard hygiene.</w:t>
            </w:r>
          </w:p>
        </w:tc>
      </w:tr>
      <w:tr>
        <w:tc>
          <w:tcPr>
            <w:tcW w:type="dxa" w:w="2592"/>
            <w:tcMar>
              <w:top w:w="50" w:type="dxa"/>
              <w:bottom w:w="50" w:type="dxa"/>
              <w:left w:w="60" w:type="dxa"/>
              <w:right w:w="60" w:type="dxa"/>
            </w:tcMar>
            <w:shd w:fill="FFF8F8"/>
          </w:tcPr>
          <w:p>
            <w:r>
              <w:rPr>
                <w:b/>
                <w:sz w:val="17"/>
              </w:rPr>
              <w:t>Pepper Bell • Bacterial Spot</w:t>
            </w:r>
          </w:p>
        </w:tc>
        <w:tc>
          <w:tcPr>
            <w:tcW w:type="dxa" w:w="3312"/>
            <w:tcMar>
              <w:top w:w="50" w:type="dxa"/>
              <w:bottom w:w="50" w:type="dxa"/>
              <w:left w:w="60" w:type="dxa"/>
              <w:right w:w="60" w:type="dxa"/>
            </w:tcMar>
            <w:shd w:fill="FFFFFF"/>
          </w:tcPr>
          <w:p>
            <w:r>
              <w:rPr>
                <w:sz w:val="17"/>
              </w:rPr>
              <w:t>Xanthomonas campestris causes water-soaked spots turning dark brown.</w:t>
            </w:r>
          </w:p>
        </w:tc>
        <w:tc>
          <w:tcPr>
            <w:tcW w:type="dxa" w:w="3744"/>
            <w:tcMar>
              <w:top w:w="50" w:type="dxa"/>
              <w:bottom w:w="50" w:type="dxa"/>
              <w:left w:w="60" w:type="dxa"/>
              <w:right w:w="60" w:type="dxa"/>
            </w:tcMar>
            <w:shd w:fill="FFFFFF"/>
          </w:tcPr>
          <w:p>
            <w:r>
              <w:rPr>
                <w:sz w:val="17"/>
              </w:rPr>
              <w:t>Use disease-free seed, avoid overhead irrigation, apply copper-mancozeb tank mix.</w:t>
            </w:r>
          </w:p>
        </w:tc>
      </w:tr>
      <w:tr>
        <w:tc>
          <w:tcPr>
            <w:tcW w:type="dxa" w:w="2592"/>
            <w:tcMar>
              <w:top w:w="50" w:type="dxa"/>
              <w:bottom w:w="50" w:type="dxa"/>
              <w:left w:w="60" w:type="dxa"/>
              <w:right w:w="60" w:type="dxa"/>
            </w:tcMar>
            <w:shd w:fill="F0F7F2"/>
          </w:tcPr>
          <w:p>
            <w:r>
              <w:rPr>
                <w:b/>
                <w:sz w:val="17"/>
              </w:rPr>
              <w:t>Pepper Bell • Healthy</w:t>
            </w:r>
          </w:p>
        </w:tc>
        <w:tc>
          <w:tcPr>
            <w:tcW w:type="dxa" w:w="3312"/>
            <w:tcMar>
              <w:top w:w="50" w:type="dxa"/>
              <w:bottom w:w="50" w:type="dxa"/>
              <w:left w:w="60" w:type="dxa"/>
              <w:right w:w="60" w:type="dxa"/>
            </w:tcMar>
            <w:shd w:fill="FFFFFF"/>
          </w:tcPr>
          <w:p>
            <w:r>
              <w:rPr>
                <w:sz w:val="17"/>
              </w:rPr>
              <w:t>Dense green canopy with sturdy stems and balanced blossom development.</w:t>
            </w:r>
          </w:p>
        </w:tc>
        <w:tc>
          <w:tcPr>
            <w:tcW w:type="dxa" w:w="3744"/>
            <w:tcMar>
              <w:top w:w="50" w:type="dxa"/>
              <w:bottom w:w="50" w:type="dxa"/>
              <w:left w:w="60" w:type="dxa"/>
              <w:right w:w="60" w:type="dxa"/>
            </w:tcMar>
            <w:shd w:fill="FFFFFF"/>
          </w:tcPr>
          <w:p>
            <w:r>
              <w:rPr>
                <w:sz w:val="17"/>
              </w:rPr>
              <w:t>Maintain consistent moisture and standard calcium-rich fertilization.</w:t>
            </w:r>
          </w:p>
        </w:tc>
      </w:tr>
      <w:tr>
        <w:tc>
          <w:tcPr>
            <w:tcW w:type="dxa" w:w="2592"/>
            <w:tcMar>
              <w:top w:w="50" w:type="dxa"/>
              <w:bottom w:w="50" w:type="dxa"/>
              <w:left w:w="60" w:type="dxa"/>
              <w:right w:w="60" w:type="dxa"/>
            </w:tcMar>
            <w:shd w:fill="FFF8F8"/>
          </w:tcPr>
          <w:p>
            <w:r>
              <w:rPr>
                <w:b/>
                <w:sz w:val="17"/>
              </w:rPr>
              <w:t>Potato • Early Blight</w:t>
            </w:r>
          </w:p>
        </w:tc>
        <w:tc>
          <w:tcPr>
            <w:tcW w:type="dxa" w:w="3312"/>
            <w:tcMar>
              <w:top w:w="50" w:type="dxa"/>
              <w:bottom w:w="50" w:type="dxa"/>
              <w:left w:w="60" w:type="dxa"/>
              <w:right w:w="60" w:type="dxa"/>
            </w:tcMar>
            <w:shd w:fill="FFFFFF"/>
          </w:tcPr>
          <w:p>
            <w:r>
              <w:rPr>
                <w:sz w:val="17"/>
              </w:rPr>
              <w:t>Alternaria solani produces target-board concentric dark rings on older leaves.</w:t>
            </w:r>
          </w:p>
        </w:tc>
        <w:tc>
          <w:tcPr>
            <w:tcW w:type="dxa" w:w="3744"/>
            <w:tcMar>
              <w:top w:w="50" w:type="dxa"/>
              <w:bottom w:w="50" w:type="dxa"/>
              <w:left w:w="60" w:type="dxa"/>
              <w:right w:w="60" w:type="dxa"/>
            </w:tcMar>
            <w:shd w:fill="FFFFFF"/>
          </w:tcPr>
          <w:p>
            <w:r>
              <w:rPr>
                <w:sz w:val="17"/>
              </w:rPr>
              <w:t>Apply chlorothalonil or copper fungicides. Practice 3-year solanaceous crop rotation.</w:t>
            </w:r>
          </w:p>
        </w:tc>
      </w:tr>
      <w:tr>
        <w:tc>
          <w:tcPr>
            <w:tcW w:type="dxa" w:w="2592"/>
            <w:tcMar>
              <w:top w:w="50" w:type="dxa"/>
              <w:bottom w:w="50" w:type="dxa"/>
              <w:left w:w="60" w:type="dxa"/>
              <w:right w:w="60" w:type="dxa"/>
            </w:tcMar>
            <w:shd w:fill="FFF8F8"/>
          </w:tcPr>
          <w:p>
            <w:r>
              <w:rPr>
                <w:b/>
                <w:sz w:val="17"/>
              </w:rPr>
              <w:t>Potato • Late Blight</w:t>
            </w:r>
          </w:p>
        </w:tc>
        <w:tc>
          <w:tcPr>
            <w:tcW w:type="dxa" w:w="3312"/>
            <w:tcMar>
              <w:top w:w="50" w:type="dxa"/>
              <w:bottom w:w="50" w:type="dxa"/>
              <w:left w:w="60" w:type="dxa"/>
              <w:right w:w="60" w:type="dxa"/>
            </w:tcMar>
            <w:shd w:fill="FFFFFF"/>
          </w:tcPr>
          <w:p>
            <w:r>
              <w:rPr>
                <w:sz w:val="17"/>
              </w:rPr>
              <w:t>Phytophthora infestans creates greasy water-soaked spots and white leaf mold.</w:t>
            </w:r>
          </w:p>
        </w:tc>
        <w:tc>
          <w:tcPr>
            <w:tcW w:type="dxa" w:w="3744"/>
            <w:tcMar>
              <w:top w:w="50" w:type="dxa"/>
              <w:bottom w:w="50" w:type="dxa"/>
              <w:left w:w="60" w:type="dxa"/>
              <w:right w:w="60" w:type="dxa"/>
            </w:tcMar>
            <w:shd w:fill="FFFFFF"/>
          </w:tcPr>
          <w:p>
            <w:r>
              <w:rPr>
                <w:sz w:val="17"/>
              </w:rPr>
              <w:t>Destroy volunteer potato tubers. Apply systemic cymoxanil or metalaxyl immediately.</w:t>
            </w:r>
          </w:p>
        </w:tc>
      </w:tr>
      <w:tr>
        <w:tc>
          <w:tcPr>
            <w:tcW w:type="dxa" w:w="2592"/>
            <w:tcMar>
              <w:top w:w="50" w:type="dxa"/>
              <w:bottom w:w="50" w:type="dxa"/>
              <w:left w:w="60" w:type="dxa"/>
              <w:right w:w="60" w:type="dxa"/>
            </w:tcMar>
            <w:shd w:fill="F0F7F2"/>
          </w:tcPr>
          <w:p>
            <w:r>
              <w:rPr>
                <w:b/>
                <w:sz w:val="17"/>
              </w:rPr>
              <w:t>Potato • Healthy</w:t>
            </w:r>
          </w:p>
        </w:tc>
        <w:tc>
          <w:tcPr>
            <w:tcW w:type="dxa" w:w="3312"/>
            <w:tcMar>
              <w:top w:w="50" w:type="dxa"/>
              <w:bottom w:w="50" w:type="dxa"/>
              <w:left w:w="60" w:type="dxa"/>
              <w:right w:w="60" w:type="dxa"/>
            </w:tcMar>
            <w:shd w:fill="FFFFFF"/>
          </w:tcPr>
          <w:p>
            <w:r>
              <w:rPr>
                <w:sz w:val="17"/>
              </w:rPr>
              <w:t>Vigorous potato foliage with robust underground tuber development.</w:t>
            </w:r>
          </w:p>
        </w:tc>
        <w:tc>
          <w:tcPr>
            <w:tcW w:type="dxa" w:w="3744"/>
            <w:tcMar>
              <w:top w:w="50" w:type="dxa"/>
              <w:bottom w:w="50" w:type="dxa"/>
              <w:left w:w="60" w:type="dxa"/>
              <w:right w:w="60" w:type="dxa"/>
            </w:tcMar>
            <w:shd w:fill="FFFFFF"/>
          </w:tcPr>
          <w:p>
            <w:r>
              <w:rPr>
                <w:sz w:val="17"/>
              </w:rPr>
              <w:t>Ensure regular hilling, optimal soil moisture, and preventative scouting.</w:t>
            </w:r>
          </w:p>
        </w:tc>
      </w:tr>
      <w:tr>
        <w:tc>
          <w:tcPr>
            <w:tcW w:type="dxa" w:w="2592"/>
            <w:tcMar>
              <w:top w:w="50" w:type="dxa"/>
              <w:bottom w:w="50" w:type="dxa"/>
              <w:left w:w="60" w:type="dxa"/>
              <w:right w:w="60" w:type="dxa"/>
            </w:tcMar>
            <w:shd w:fill="F0F7F2"/>
          </w:tcPr>
          <w:p>
            <w:r>
              <w:rPr>
                <w:b/>
                <w:sz w:val="17"/>
              </w:rPr>
              <w:t>Raspberry • Healthy</w:t>
            </w:r>
          </w:p>
        </w:tc>
        <w:tc>
          <w:tcPr>
            <w:tcW w:type="dxa" w:w="3312"/>
            <w:tcMar>
              <w:top w:w="50" w:type="dxa"/>
              <w:bottom w:w="50" w:type="dxa"/>
              <w:left w:w="60" w:type="dxa"/>
              <w:right w:w="60" w:type="dxa"/>
            </w:tcMar>
            <w:shd w:fill="FFFFFF"/>
          </w:tcPr>
          <w:p>
            <w:r>
              <w:rPr>
                <w:sz w:val="17"/>
              </w:rPr>
              <w:t>Clean cane foliage with robust vegetative primocane growth.</w:t>
            </w:r>
          </w:p>
        </w:tc>
        <w:tc>
          <w:tcPr>
            <w:tcW w:type="dxa" w:w="3744"/>
            <w:tcMar>
              <w:top w:w="50" w:type="dxa"/>
              <w:bottom w:w="50" w:type="dxa"/>
              <w:left w:w="60" w:type="dxa"/>
              <w:right w:w="60" w:type="dxa"/>
            </w:tcMar>
            <w:shd w:fill="FFFFFF"/>
          </w:tcPr>
          <w:p>
            <w:r>
              <w:rPr>
                <w:sz w:val="17"/>
              </w:rPr>
              <w:t>Ensure good drainage, trellis support, and annual dormant cane pruning.</w:t>
            </w:r>
          </w:p>
        </w:tc>
      </w:tr>
      <w:tr>
        <w:tc>
          <w:tcPr>
            <w:tcW w:type="dxa" w:w="2592"/>
            <w:tcMar>
              <w:top w:w="50" w:type="dxa"/>
              <w:bottom w:w="50" w:type="dxa"/>
              <w:left w:w="60" w:type="dxa"/>
              <w:right w:w="60" w:type="dxa"/>
            </w:tcMar>
            <w:shd w:fill="F0F7F2"/>
          </w:tcPr>
          <w:p>
            <w:r>
              <w:rPr>
                <w:b/>
                <w:sz w:val="17"/>
              </w:rPr>
              <w:t>Soybean • Healthy</w:t>
            </w:r>
          </w:p>
        </w:tc>
        <w:tc>
          <w:tcPr>
            <w:tcW w:type="dxa" w:w="3312"/>
            <w:tcMar>
              <w:top w:w="50" w:type="dxa"/>
              <w:bottom w:w="50" w:type="dxa"/>
              <w:left w:w="60" w:type="dxa"/>
              <w:right w:w="60" w:type="dxa"/>
            </w:tcMar>
            <w:shd w:fill="FFFFFF"/>
          </w:tcPr>
          <w:p>
            <w:r>
              <w:rPr>
                <w:sz w:val="17"/>
              </w:rPr>
              <w:t>Dense trifoliate canopy with strong nodulation and balanced nitrogen fix.</w:t>
            </w:r>
          </w:p>
        </w:tc>
        <w:tc>
          <w:tcPr>
            <w:tcW w:type="dxa" w:w="3744"/>
            <w:tcMar>
              <w:top w:w="50" w:type="dxa"/>
              <w:bottom w:w="50" w:type="dxa"/>
              <w:left w:w="60" w:type="dxa"/>
              <w:right w:w="60" w:type="dxa"/>
            </w:tcMar>
            <w:shd w:fill="FFFFFF"/>
          </w:tcPr>
          <w:p>
            <w:r>
              <w:rPr>
                <w:sz w:val="17"/>
              </w:rPr>
              <w:t>Scout for defoliating caterpillars and maintain clean weed-free rows.</w:t>
            </w:r>
          </w:p>
        </w:tc>
      </w:tr>
      <w:tr>
        <w:tc>
          <w:tcPr>
            <w:tcW w:type="dxa" w:w="2592"/>
            <w:tcMar>
              <w:top w:w="50" w:type="dxa"/>
              <w:bottom w:w="50" w:type="dxa"/>
              <w:left w:w="60" w:type="dxa"/>
              <w:right w:w="60" w:type="dxa"/>
            </w:tcMar>
            <w:shd w:fill="FFF8F8"/>
          </w:tcPr>
          <w:p>
            <w:r>
              <w:rPr>
                <w:b/>
                <w:sz w:val="17"/>
              </w:rPr>
              <w:t>Squash • Powdery Mildew</w:t>
            </w:r>
          </w:p>
        </w:tc>
        <w:tc>
          <w:tcPr>
            <w:tcW w:type="dxa" w:w="3312"/>
            <w:tcMar>
              <w:top w:w="50" w:type="dxa"/>
              <w:bottom w:w="50" w:type="dxa"/>
              <w:left w:w="60" w:type="dxa"/>
              <w:right w:w="60" w:type="dxa"/>
            </w:tcMar>
            <w:shd w:fill="FFFFFF"/>
          </w:tcPr>
          <w:p>
            <w:r>
              <w:rPr>
                <w:sz w:val="17"/>
              </w:rPr>
              <w:t>Podosphaera xanthii coats foliage in talcum powder-like fungal spores.</w:t>
            </w:r>
          </w:p>
        </w:tc>
        <w:tc>
          <w:tcPr>
            <w:tcW w:type="dxa" w:w="3744"/>
            <w:tcMar>
              <w:top w:w="50" w:type="dxa"/>
              <w:bottom w:w="50" w:type="dxa"/>
              <w:left w:w="60" w:type="dxa"/>
              <w:right w:w="60" w:type="dxa"/>
            </w:tcMar>
            <w:shd w:fill="FFFFFF"/>
          </w:tcPr>
          <w:p>
            <w:r>
              <w:rPr>
                <w:sz w:val="17"/>
              </w:rPr>
              <w:t>Spray neem oil, potassium bicarbonate, or sulfur. Ensure wide spacing for airflow.</w:t>
            </w:r>
          </w:p>
        </w:tc>
      </w:tr>
      <w:tr>
        <w:tc>
          <w:tcPr>
            <w:tcW w:type="dxa" w:w="2592"/>
            <w:tcMar>
              <w:top w:w="50" w:type="dxa"/>
              <w:bottom w:w="50" w:type="dxa"/>
              <w:left w:w="60" w:type="dxa"/>
              <w:right w:w="60" w:type="dxa"/>
            </w:tcMar>
            <w:shd w:fill="FFF8F8"/>
          </w:tcPr>
          <w:p>
            <w:r>
              <w:rPr>
                <w:b/>
                <w:sz w:val="17"/>
              </w:rPr>
              <w:t>Strawberry • Leaf Scorch</w:t>
            </w:r>
          </w:p>
        </w:tc>
        <w:tc>
          <w:tcPr>
            <w:tcW w:type="dxa" w:w="3312"/>
            <w:tcMar>
              <w:top w:w="50" w:type="dxa"/>
              <w:bottom w:w="50" w:type="dxa"/>
              <w:left w:w="60" w:type="dxa"/>
              <w:right w:w="60" w:type="dxa"/>
            </w:tcMar>
            <w:shd w:fill="FFFFFF"/>
          </w:tcPr>
          <w:p>
            <w:r>
              <w:rPr>
                <w:sz w:val="17"/>
              </w:rPr>
              <w:t>Diplocarpon earlianum causes purplish irregular blotches that scorch margins.</w:t>
            </w:r>
          </w:p>
        </w:tc>
        <w:tc>
          <w:tcPr>
            <w:tcW w:type="dxa" w:w="3744"/>
            <w:tcMar>
              <w:top w:w="50" w:type="dxa"/>
              <w:bottom w:w="50" w:type="dxa"/>
              <w:left w:w="60" w:type="dxa"/>
              <w:right w:w="60" w:type="dxa"/>
            </w:tcMar>
            <w:shd w:fill="FFFFFF"/>
          </w:tcPr>
          <w:p>
            <w:r>
              <w:rPr>
                <w:sz w:val="17"/>
              </w:rPr>
              <w:t>Prune dead leaves post-harvest. Apply captan or dodine fungicide in early spring.</w:t>
            </w:r>
          </w:p>
        </w:tc>
      </w:tr>
      <w:tr>
        <w:tc>
          <w:tcPr>
            <w:tcW w:type="dxa" w:w="2592"/>
            <w:tcMar>
              <w:top w:w="50" w:type="dxa"/>
              <w:bottom w:w="50" w:type="dxa"/>
              <w:left w:w="60" w:type="dxa"/>
              <w:right w:w="60" w:type="dxa"/>
            </w:tcMar>
            <w:shd w:fill="F0F7F2"/>
          </w:tcPr>
          <w:p>
            <w:r>
              <w:rPr>
                <w:b/>
                <w:sz w:val="17"/>
              </w:rPr>
              <w:t>Strawberry • Healthy</w:t>
            </w:r>
          </w:p>
        </w:tc>
        <w:tc>
          <w:tcPr>
            <w:tcW w:type="dxa" w:w="3312"/>
            <w:tcMar>
              <w:top w:w="50" w:type="dxa"/>
              <w:bottom w:w="50" w:type="dxa"/>
              <w:left w:w="60" w:type="dxa"/>
              <w:right w:w="60" w:type="dxa"/>
            </w:tcMar>
            <w:shd w:fill="FFFFFF"/>
          </w:tcPr>
          <w:p>
            <w:r>
              <w:rPr>
                <w:sz w:val="17"/>
              </w:rPr>
              <w:t>Vibrant trifoliate leaves with balanced crown growth and clean blossoms.</w:t>
            </w:r>
          </w:p>
        </w:tc>
        <w:tc>
          <w:tcPr>
            <w:tcW w:type="dxa" w:w="3744"/>
            <w:tcMar>
              <w:top w:w="50" w:type="dxa"/>
              <w:bottom w:w="50" w:type="dxa"/>
              <w:left w:w="60" w:type="dxa"/>
              <w:right w:w="60" w:type="dxa"/>
            </w:tcMar>
            <w:shd w:fill="FFFFFF"/>
          </w:tcPr>
          <w:p>
            <w:r>
              <w:rPr>
                <w:sz w:val="17"/>
              </w:rPr>
              <w:t>Maintain clean straw mulch beneath runners and balanced drip fertigation.</w:t>
            </w:r>
          </w:p>
        </w:tc>
      </w:tr>
      <w:tr>
        <w:tc>
          <w:tcPr>
            <w:tcW w:type="dxa" w:w="2592"/>
            <w:tcMar>
              <w:top w:w="50" w:type="dxa"/>
              <w:bottom w:w="50" w:type="dxa"/>
              <w:left w:w="60" w:type="dxa"/>
              <w:right w:w="60" w:type="dxa"/>
            </w:tcMar>
            <w:shd w:fill="FFF8F8"/>
          </w:tcPr>
          <w:p>
            <w:r>
              <w:rPr>
                <w:b/>
                <w:sz w:val="17"/>
              </w:rPr>
              <w:t>Tomato • Bacterial Spot</w:t>
            </w:r>
          </w:p>
        </w:tc>
        <w:tc>
          <w:tcPr>
            <w:tcW w:type="dxa" w:w="3312"/>
            <w:tcMar>
              <w:top w:w="50" w:type="dxa"/>
              <w:bottom w:w="50" w:type="dxa"/>
              <w:left w:w="60" w:type="dxa"/>
              <w:right w:w="60" w:type="dxa"/>
            </w:tcMar>
            <w:shd w:fill="FFFFFF"/>
          </w:tcPr>
          <w:p>
            <w:r>
              <w:rPr>
                <w:sz w:val="17"/>
              </w:rPr>
              <w:t>Xanthomonas spp. produce small greasy black spots with yellow halos.</w:t>
            </w:r>
          </w:p>
        </w:tc>
        <w:tc>
          <w:tcPr>
            <w:tcW w:type="dxa" w:w="3744"/>
            <w:tcMar>
              <w:top w:w="50" w:type="dxa"/>
              <w:bottom w:w="50" w:type="dxa"/>
              <w:left w:w="60" w:type="dxa"/>
              <w:right w:w="60" w:type="dxa"/>
            </w:tcMar>
            <w:shd w:fill="FFFFFF"/>
          </w:tcPr>
          <w:p>
            <w:r>
              <w:rPr>
                <w:sz w:val="17"/>
              </w:rPr>
              <w:t>Spray fixed copper with mancozeb. Avoid working in fields when foliage is wet.</w:t>
            </w:r>
          </w:p>
        </w:tc>
      </w:tr>
      <w:tr>
        <w:tc>
          <w:tcPr>
            <w:tcW w:type="dxa" w:w="2592"/>
            <w:tcMar>
              <w:top w:w="50" w:type="dxa"/>
              <w:bottom w:w="50" w:type="dxa"/>
              <w:left w:w="60" w:type="dxa"/>
              <w:right w:w="60" w:type="dxa"/>
            </w:tcMar>
            <w:shd w:fill="FFF8F8"/>
          </w:tcPr>
          <w:p>
            <w:r>
              <w:rPr>
                <w:b/>
                <w:sz w:val="17"/>
              </w:rPr>
              <w:t>Tomato • Early Blight</w:t>
            </w:r>
          </w:p>
        </w:tc>
        <w:tc>
          <w:tcPr>
            <w:tcW w:type="dxa" w:w="3312"/>
            <w:tcMar>
              <w:top w:w="50" w:type="dxa"/>
              <w:bottom w:w="50" w:type="dxa"/>
              <w:left w:w="60" w:type="dxa"/>
              <w:right w:w="60" w:type="dxa"/>
            </w:tcMar>
            <w:shd w:fill="FFFFFF"/>
          </w:tcPr>
          <w:p>
            <w:r>
              <w:rPr>
                <w:sz w:val="17"/>
              </w:rPr>
              <w:t>Alternaria linariae creates target-pattern concentric rings on lower leaves.</w:t>
            </w:r>
          </w:p>
        </w:tc>
        <w:tc>
          <w:tcPr>
            <w:tcW w:type="dxa" w:w="3744"/>
            <w:tcMar>
              <w:top w:w="50" w:type="dxa"/>
              <w:bottom w:w="50" w:type="dxa"/>
              <w:left w:w="60" w:type="dxa"/>
              <w:right w:w="60" w:type="dxa"/>
            </w:tcMar>
            <w:shd w:fill="FFFFFF"/>
          </w:tcPr>
          <w:p>
            <w:r>
              <w:rPr>
                <w:sz w:val="17"/>
              </w:rPr>
              <w:t>Mulch soil surface, prune lower leaves, and apply chlorothalonil or copper spray.</w:t>
            </w:r>
          </w:p>
        </w:tc>
      </w:tr>
      <w:tr>
        <w:tc>
          <w:tcPr>
            <w:tcW w:type="dxa" w:w="2592"/>
            <w:tcMar>
              <w:top w:w="50" w:type="dxa"/>
              <w:bottom w:w="50" w:type="dxa"/>
              <w:left w:w="60" w:type="dxa"/>
              <w:right w:w="60" w:type="dxa"/>
            </w:tcMar>
            <w:shd w:fill="FFF8F8"/>
          </w:tcPr>
          <w:p>
            <w:r>
              <w:rPr>
                <w:b/>
                <w:sz w:val="17"/>
              </w:rPr>
              <w:t>Tomato • Late Blight</w:t>
            </w:r>
          </w:p>
        </w:tc>
        <w:tc>
          <w:tcPr>
            <w:tcW w:type="dxa" w:w="3312"/>
            <w:tcMar>
              <w:top w:w="50" w:type="dxa"/>
              <w:bottom w:w="50" w:type="dxa"/>
              <w:left w:w="60" w:type="dxa"/>
              <w:right w:w="60" w:type="dxa"/>
            </w:tcMar>
            <w:shd w:fill="FFFFFF"/>
          </w:tcPr>
          <w:p>
            <w:r>
              <w:rPr>
                <w:sz w:val="17"/>
              </w:rPr>
              <w:t>Phytophthora infestans causes rapid water-soaked lesions and stem collapse.</w:t>
            </w:r>
          </w:p>
        </w:tc>
        <w:tc>
          <w:tcPr>
            <w:tcW w:type="dxa" w:w="3744"/>
            <w:tcMar>
              <w:top w:w="50" w:type="dxa"/>
              <w:bottom w:w="50" w:type="dxa"/>
              <w:left w:w="60" w:type="dxa"/>
              <w:right w:w="60" w:type="dxa"/>
            </w:tcMar>
            <w:shd w:fill="FFFFFF"/>
          </w:tcPr>
          <w:p>
            <w:r>
              <w:rPr>
                <w:sz w:val="17"/>
              </w:rPr>
              <w:t>Remove and bag infected plants immediately. Apply protective copper fungicides.</w:t>
            </w:r>
          </w:p>
        </w:tc>
      </w:tr>
      <w:tr>
        <w:tc>
          <w:tcPr>
            <w:tcW w:type="dxa" w:w="2592"/>
            <w:tcMar>
              <w:top w:w="50" w:type="dxa"/>
              <w:bottom w:w="50" w:type="dxa"/>
              <w:left w:w="60" w:type="dxa"/>
              <w:right w:w="60" w:type="dxa"/>
            </w:tcMar>
            <w:shd w:fill="FFF8F8"/>
          </w:tcPr>
          <w:p>
            <w:r>
              <w:rPr>
                <w:b/>
                <w:sz w:val="17"/>
              </w:rPr>
              <w:t>Tomato • Leaf Mold</w:t>
            </w:r>
          </w:p>
        </w:tc>
        <w:tc>
          <w:tcPr>
            <w:tcW w:type="dxa" w:w="3312"/>
            <w:tcMar>
              <w:top w:w="50" w:type="dxa"/>
              <w:bottom w:w="50" w:type="dxa"/>
              <w:left w:w="60" w:type="dxa"/>
              <w:right w:w="60" w:type="dxa"/>
            </w:tcMar>
            <w:shd w:fill="FFFFFF"/>
          </w:tcPr>
          <w:p>
            <w:r>
              <w:rPr>
                <w:sz w:val="17"/>
              </w:rPr>
              <w:t>Passalora fulva causes yellow upper patches and velvety olive-brown undersides.</w:t>
            </w:r>
          </w:p>
        </w:tc>
        <w:tc>
          <w:tcPr>
            <w:tcW w:type="dxa" w:w="3744"/>
            <w:tcMar>
              <w:top w:w="50" w:type="dxa"/>
              <w:bottom w:w="50" w:type="dxa"/>
              <w:left w:w="60" w:type="dxa"/>
              <w:right w:w="60" w:type="dxa"/>
            </w:tcMar>
            <w:shd w:fill="FFFFFF"/>
          </w:tcPr>
          <w:p>
            <w:r>
              <w:rPr>
                <w:sz w:val="17"/>
              </w:rPr>
              <w:t>Reduce humidity below 85%, space plants generously, and increase greenhouse ventilation.</w:t>
            </w:r>
          </w:p>
        </w:tc>
      </w:tr>
      <w:tr>
        <w:tc>
          <w:tcPr>
            <w:tcW w:type="dxa" w:w="2592"/>
            <w:tcMar>
              <w:top w:w="50" w:type="dxa"/>
              <w:bottom w:w="50" w:type="dxa"/>
              <w:left w:w="60" w:type="dxa"/>
              <w:right w:w="60" w:type="dxa"/>
            </w:tcMar>
            <w:shd w:fill="FFF8F8"/>
          </w:tcPr>
          <w:p>
            <w:r>
              <w:rPr>
                <w:b/>
                <w:sz w:val="17"/>
              </w:rPr>
              <w:t>Tomato • Septoria Leaf Spot</w:t>
            </w:r>
          </w:p>
        </w:tc>
        <w:tc>
          <w:tcPr>
            <w:tcW w:type="dxa" w:w="3312"/>
            <w:tcMar>
              <w:top w:w="50" w:type="dxa"/>
              <w:bottom w:w="50" w:type="dxa"/>
              <w:left w:w="60" w:type="dxa"/>
              <w:right w:w="60" w:type="dxa"/>
            </w:tcMar>
            <w:shd w:fill="FFFFFF"/>
          </w:tcPr>
          <w:p>
            <w:r>
              <w:rPr>
                <w:sz w:val="17"/>
              </w:rPr>
              <w:t>Septoria lycopersici causes small circular spots with gray centers and dark borders.</w:t>
            </w:r>
          </w:p>
        </w:tc>
        <w:tc>
          <w:tcPr>
            <w:tcW w:type="dxa" w:w="3744"/>
            <w:tcMar>
              <w:top w:w="50" w:type="dxa"/>
              <w:bottom w:w="50" w:type="dxa"/>
              <w:left w:w="60" w:type="dxa"/>
              <w:right w:w="60" w:type="dxa"/>
            </w:tcMar>
            <w:shd w:fill="FFFFFF"/>
          </w:tcPr>
          <w:p>
            <w:r>
              <w:rPr>
                <w:sz w:val="17"/>
              </w:rPr>
              <w:t>Clear infected plant debris, stake plants off the ground, and apply copper fungicide.</w:t>
            </w:r>
          </w:p>
        </w:tc>
      </w:tr>
      <w:tr>
        <w:tc>
          <w:tcPr>
            <w:tcW w:type="dxa" w:w="2592"/>
            <w:tcMar>
              <w:top w:w="50" w:type="dxa"/>
              <w:bottom w:w="50" w:type="dxa"/>
              <w:left w:w="60" w:type="dxa"/>
              <w:right w:w="60" w:type="dxa"/>
            </w:tcMar>
            <w:shd w:fill="FFF8F8"/>
          </w:tcPr>
          <w:p>
            <w:r>
              <w:rPr>
                <w:b/>
                <w:sz w:val="17"/>
              </w:rPr>
              <w:t>Tomato • Spider Mites</w:t>
            </w:r>
          </w:p>
        </w:tc>
        <w:tc>
          <w:tcPr>
            <w:tcW w:type="dxa" w:w="3312"/>
            <w:tcMar>
              <w:top w:w="50" w:type="dxa"/>
              <w:bottom w:w="50" w:type="dxa"/>
              <w:left w:w="60" w:type="dxa"/>
              <w:right w:w="60" w:type="dxa"/>
            </w:tcMar>
            <w:shd w:fill="FFFFFF"/>
          </w:tcPr>
          <w:p>
            <w:r>
              <w:rPr>
                <w:sz w:val="17"/>
              </w:rPr>
              <w:t>Tetranychus urticae causes fine yellow stippling and delicate silk webbing.</w:t>
            </w:r>
          </w:p>
        </w:tc>
        <w:tc>
          <w:tcPr>
            <w:tcW w:type="dxa" w:w="3744"/>
            <w:tcMar>
              <w:top w:w="50" w:type="dxa"/>
              <w:bottom w:w="50" w:type="dxa"/>
              <w:left w:w="60" w:type="dxa"/>
              <w:right w:w="60" w:type="dxa"/>
            </w:tcMar>
            <w:shd w:fill="FFFFFF"/>
          </w:tcPr>
          <w:p>
            <w:r>
              <w:rPr>
                <w:sz w:val="17"/>
              </w:rPr>
              <w:t>Spray insecticidal soap, horticultural oils, or release predatory mites (P. persimilis).</w:t>
            </w:r>
          </w:p>
        </w:tc>
      </w:tr>
      <w:tr>
        <w:tc>
          <w:tcPr>
            <w:tcW w:type="dxa" w:w="2592"/>
            <w:tcMar>
              <w:top w:w="50" w:type="dxa"/>
              <w:bottom w:w="50" w:type="dxa"/>
              <w:left w:w="60" w:type="dxa"/>
              <w:right w:w="60" w:type="dxa"/>
            </w:tcMar>
            <w:shd w:fill="FFF8F8"/>
          </w:tcPr>
          <w:p>
            <w:r>
              <w:rPr>
                <w:b/>
                <w:sz w:val="17"/>
              </w:rPr>
              <w:t>Tomato • Target Spot</w:t>
            </w:r>
          </w:p>
        </w:tc>
        <w:tc>
          <w:tcPr>
            <w:tcW w:type="dxa" w:w="3312"/>
            <w:tcMar>
              <w:top w:w="50" w:type="dxa"/>
              <w:bottom w:w="50" w:type="dxa"/>
              <w:left w:w="60" w:type="dxa"/>
              <w:right w:w="60" w:type="dxa"/>
            </w:tcMar>
            <w:shd w:fill="FFFFFF"/>
          </w:tcPr>
          <w:p>
            <w:r>
              <w:rPr>
                <w:sz w:val="17"/>
              </w:rPr>
              <w:t>Corynespora cassiicola produces brown circular lesions with dark rings.</w:t>
            </w:r>
          </w:p>
        </w:tc>
        <w:tc>
          <w:tcPr>
            <w:tcW w:type="dxa" w:w="3744"/>
            <w:tcMar>
              <w:top w:w="50" w:type="dxa"/>
              <w:bottom w:w="50" w:type="dxa"/>
              <w:left w:w="60" w:type="dxa"/>
              <w:right w:w="60" w:type="dxa"/>
            </w:tcMar>
            <w:shd w:fill="FFFFFF"/>
          </w:tcPr>
          <w:p>
            <w:r>
              <w:rPr>
                <w:sz w:val="17"/>
              </w:rPr>
              <w:t>Maintain good air circulation. Apply azoxystrobin or boscalid at first symptom onset.</w:t>
            </w:r>
          </w:p>
        </w:tc>
      </w:tr>
      <w:tr>
        <w:tc>
          <w:tcPr>
            <w:tcW w:type="dxa" w:w="2592"/>
            <w:tcMar>
              <w:top w:w="50" w:type="dxa"/>
              <w:bottom w:w="50" w:type="dxa"/>
              <w:left w:w="60" w:type="dxa"/>
              <w:right w:w="60" w:type="dxa"/>
            </w:tcMar>
            <w:shd w:fill="FFF8F8"/>
          </w:tcPr>
          <w:p>
            <w:r>
              <w:rPr>
                <w:b/>
                <w:sz w:val="17"/>
              </w:rPr>
              <w:t>Tomato • Yellow Leaf Curl</w:t>
            </w:r>
          </w:p>
        </w:tc>
        <w:tc>
          <w:tcPr>
            <w:tcW w:type="dxa" w:w="3312"/>
            <w:tcMar>
              <w:top w:w="50" w:type="dxa"/>
              <w:bottom w:w="50" w:type="dxa"/>
              <w:left w:w="60" w:type="dxa"/>
              <w:right w:w="60" w:type="dxa"/>
            </w:tcMar>
            <w:shd w:fill="FFFFFF"/>
          </w:tcPr>
          <w:p>
            <w:r>
              <w:rPr>
                <w:sz w:val="17"/>
              </w:rPr>
              <w:t>Whitefly-transmitted virus causing severe leaf curling, yellowing, and stunting.</w:t>
            </w:r>
          </w:p>
        </w:tc>
        <w:tc>
          <w:tcPr>
            <w:tcW w:type="dxa" w:w="3744"/>
            <w:tcMar>
              <w:top w:w="50" w:type="dxa"/>
              <w:bottom w:w="50" w:type="dxa"/>
              <w:left w:w="60" w:type="dxa"/>
              <w:right w:w="60" w:type="dxa"/>
            </w:tcMar>
            <w:shd w:fill="FFFFFF"/>
          </w:tcPr>
          <w:p>
            <w:r>
              <w:rPr>
                <w:sz w:val="17"/>
              </w:rPr>
              <w:t>Control whiteflies with sticky traps, insect nets, and spinosad. Plant TYLCV-resistant varieties.</w:t>
            </w:r>
          </w:p>
        </w:tc>
      </w:tr>
      <w:tr>
        <w:tc>
          <w:tcPr>
            <w:tcW w:type="dxa" w:w="2592"/>
            <w:tcMar>
              <w:top w:w="50" w:type="dxa"/>
              <w:bottom w:w="50" w:type="dxa"/>
              <w:left w:w="60" w:type="dxa"/>
              <w:right w:w="60" w:type="dxa"/>
            </w:tcMar>
            <w:shd w:fill="FFF8F8"/>
          </w:tcPr>
          <w:p>
            <w:r>
              <w:rPr>
                <w:b/>
                <w:sz w:val="17"/>
              </w:rPr>
              <w:t>Tomato • Mosaic Virus</w:t>
            </w:r>
          </w:p>
        </w:tc>
        <w:tc>
          <w:tcPr>
            <w:tcW w:type="dxa" w:w="3312"/>
            <w:tcMar>
              <w:top w:w="50" w:type="dxa"/>
              <w:bottom w:w="50" w:type="dxa"/>
              <w:left w:w="60" w:type="dxa"/>
              <w:right w:w="60" w:type="dxa"/>
            </w:tcMar>
            <w:shd w:fill="FFFFFF"/>
          </w:tcPr>
          <w:p>
            <w:r>
              <w:rPr>
                <w:sz w:val="17"/>
              </w:rPr>
              <w:t>Tobamovirus causing mottled light/dark green mosaic patterns and leaf blisters.</w:t>
            </w:r>
          </w:p>
        </w:tc>
        <w:tc>
          <w:tcPr>
            <w:tcW w:type="dxa" w:w="3744"/>
            <w:tcMar>
              <w:top w:w="50" w:type="dxa"/>
              <w:bottom w:w="50" w:type="dxa"/>
              <w:left w:w="60" w:type="dxa"/>
              <w:right w:w="60" w:type="dxa"/>
            </w:tcMar>
            <w:shd w:fill="FFFFFF"/>
          </w:tcPr>
          <w:p>
            <w:r>
              <w:rPr>
                <w:sz w:val="17"/>
              </w:rPr>
              <w:t>No chemical cure. Sanitize tools with 20% milk/bleach. Remove infected plants.</w:t>
            </w:r>
          </w:p>
        </w:tc>
      </w:tr>
      <w:tr>
        <w:tc>
          <w:tcPr>
            <w:tcW w:type="dxa" w:w="2592"/>
            <w:tcMar>
              <w:top w:w="50" w:type="dxa"/>
              <w:bottom w:w="50" w:type="dxa"/>
              <w:left w:w="60" w:type="dxa"/>
              <w:right w:w="60" w:type="dxa"/>
            </w:tcMar>
            <w:shd w:fill="F0F7F2"/>
          </w:tcPr>
          <w:p>
            <w:r>
              <w:rPr>
                <w:b/>
                <w:sz w:val="17"/>
              </w:rPr>
              <w:t>Tomato • Healthy</w:t>
            </w:r>
          </w:p>
        </w:tc>
        <w:tc>
          <w:tcPr>
            <w:tcW w:type="dxa" w:w="3312"/>
            <w:tcMar>
              <w:top w:w="50" w:type="dxa"/>
              <w:bottom w:w="50" w:type="dxa"/>
              <w:left w:w="60" w:type="dxa"/>
              <w:right w:w="60" w:type="dxa"/>
            </w:tcMar>
            <w:shd w:fill="FFFFFF"/>
          </w:tcPr>
          <w:p>
            <w:r>
              <w:rPr>
                <w:sz w:val="17"/>
              </w:rPr>
              <w:t>Vibrant foliage, sturdy indeterminate stems, and active flower clusters.</w:t>
            </w:r>
          </w:p>
        </w:tc>
        <w:tc>
          <w:tcPr>
            <w:tcW w:type="dxa" w:w="3744"/>
            <w:tcMar>
              <w:top w:w="50" w:type="dxa"/>
              <w:bottom w:w="50" w:type="dxa"/>
              <w:left w:w="60" w:type="dxa"/>
              <w:right w:w="60" w:type="dxa"/>
            </w:tcMar>
            <w:shd w:fill="FFFFFF"/>
          </w:tcPr>
          <w:p>
            <w:r>
              <w:rPr>
                <w:sz w:val="17"/>
              </w:rPr>
              <w:t>Maintain consistent deep watering, balanced calcium/potassium, and sucker pruning.</w:t>
            </w:r>
          </w:p>
        </w:tc>
      </w:tr>
    </w:tbl>
    <w:p/>
    <w:p>
      <w:pPr>
        <w:pStyle w:val="Heading1"/>
      </w:pPr>
      <w:r>
        <w:t>6. Execution, Verification &amp; Deployment Runbook</w:t>
      </w:r>
    </w:p>
    <w:p>
      <w:r>
        <w:rPr>
          <w:b/>
        </w:rPr>
        <w:t>1. Local Execution:</w:t>
        <w:br/>
      </w:r>
      <w:r>
        <w:rPr>
          <w:b/>
        </w:rPr>
        <w:t xml:space="preserve">   • Run AI Backend: </w:t>
      </w:r>
      <w:r>
        <w:t>`python server.py` (FastAPI starts on port 8000/7860)</w:t>
        <w:br/>
      </w:r>
      <w:r>
        <w:rPr>
          <w:b/>
        </w:rPr>
        <w:t xml:space="preserve">   • Run Next.js Frontend: </w:t>
      </w:r>
      <w:r>
        <w:t>`npm run dev` (Turbopack dev server on `http://localhost:3000`)</w:t>
        <w:br/>
        <w:br/>
      </w:r>
      <w:r>
        <w:rPr>
          <w:b/>
        </w:rPr>
        <w:t>2. Production Single-Container Cloud Deployment:</w:t>
        <w:br/>
      </w:r>
      <w:r>
        <w:t xml:space="preserve">   • Dockerfile executes a 2-stage build: compiles Next.js to static `/out`, installs Python + PyTorch CPU, loads INT8-quantized ResNet-18 weights, and serves both frontend and API on `$PORT`.</w:t>
        <w:br/>
      </w:r>
      <w:r>
        <w:rPr>
          <w:b/>
        </w:rPr>
        <w:t xml:space="preserve">   • Live Production Service: </w:t>
      </w:r>
      <w:r>
        <w:t>Hosted on Render (Docker runtime) with automatic continuous deployment from GitHub branch `main`.</w:t>
        <w:br/>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4D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