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EC0C" w14:textId="3891A4E0" w:rsidR="00DE61F1" w:rsidRDefault="00563060" w:rsidP="00563060">
      <w:pPr>
        <w:pStyle w:val="Heading1"/>
        <w:spacing w:before="0"/>
        <w:ind w:left="1440"/>
        <w:rPr>
          <w:sz w:val="48"/>
          <w:szCs w:val="48"/>
          <w:lang w:val="en-US"/>
        </w:rPr>
      </w:pPr>
      <w:r w:rsidRPr="00563060">
        <w:rPr>
          <w:sz w:val="48"/>
          <w:szCs w:val="48"/>
          <w:lang w:val="en-US"/>
        </w:rPr>
        <w:t xml:space="preserve">  STOCK PERFORMANCE ANALYSIS </w:t>
      </w:r>
    </w:p>
    <w:p w14:paraId="4C3A8595" w14:textId="77777777" w:rsidR="00563060" w:rsidRDefault="00563060" w:rsidP="00563060">
      <w:pPr>
        <w:rPr>
          <w:lang w:val="en-US"/>
        </w:rPr>
      </w:pPr>
    </w:p>
    <w:p w14:paraId="773853DE" w14:textId="77777777" w:rsidR="00563060" w:rsidRDefault="00563060" w:rsidP="00563060">
      <w:pPr>
        <w:rPr>
          <w:lang w:val="en-US"/>
        </w:rPr>
      </w:pPr>
    </w:p>
    <w:p w14:paraId="76C259DF" w14:textId="77777777" w:rsidR="00563060" w:rsidRDefault="00563060" w:rsidP="00563060">
      <w:pPr>
        <w:rPr>
          <w:lang w:val="en-US"/>
        </w:rPr>
      </w:pPr>
    </w:p>
    <w:p w14:paraId="7CF91424" w14:textId="77777777" w:rsidR="00563060" w:rsidRDefault="00563060" w:rsidP="00563060">
      <w:pPr>
        <w:rPr>
          <w:lang w:val="en-US"/>
        </w:rPr>
      </w:pPr>
    </w:p>
    <w:p w14:paraId="186FBFA2" w14:textId="77777777" w:rsidR="00563060" w:rsidRDefault="00563060" w:rsidP="00563060">
      <w:pPr>
        <w:rPr>
          <w:lang w:val="en-US"/>
        </w:rPr>
      </w:pPr>
    </w:p>
    <w:p w14:paraId="24503D9B" w14:textId="77777777" w:rsidR="00563060" w:rsidRDefault="00563060" w:rsidP="00563060">
      <w:pPr>
        <w:rPr>
          <w:lang w:val="en-US"/>
        </w:rPr>
      </w:pPr>
    </w:p>
    <w:p w14:paraId="11299AC7" w14:textId="77777777" w:rsidR="00563060" w:rsidRDefault="00563060" w:rsidP="00563060">
      <w:pPr>
        <w:rPr>
          <w:lang w:val="en-US"/>
        </w:rPr>
      </w:pPr>
    </w:p>
    <w:p w14:paraId="6245F4C0" w14:textId="77777777" w:rsidR="00563060" w:rsidRDefault="00563060" w:rsidP="00563060">
      <w:pPr>
        <w:rPr>
          <w:lang w:val="en-US"/>
        </w:rPr>
      </w:pPr>
    </w:p>
    <w:p w14:paraId="176F69EC" w14:textId="444729B4" w:rsidR="00563060" w:rsidRDefault="00563060" w:rsidP="00563060">
      <w:pPr>
        <w:rPr>
          <w:lang w:val="en-US"/>
        </w:rPr>
      </w:pPr>
      <w:r w:rsidRPr="00563060">
        <w:rPr>
          <w:noProof/>
          <w:color w:val="ED7D31" w:themeColor="accent2"/>
          <w:lang w:val="en-US"/>
        </w:rPr>
        <w:drawing>
          <wp:anchor distT="0" distB="0" distL="114300" distR="114300" simplePos="0" relativeHeight="251657216" behindDoc="0" locked="0" layoutInCell="1" allowOverlap="1" wp14:anchorId="3A6B5F5D" wp14:editId="5AB0B37A">
            <wp:simplePos x="0" y="0"/>
            <wp:positionH relativeFrom="margin">
              <wp:posOffset>1567461</wp:posOffset>
            </wp:positionH>
            <wp:positionV relativeFrom="margin">
              <wp:posOffset>509286</wp:posOffset>
            </wp:positionV>
            <wp:extent cx="3048000" cy="1714500"/>
            <wp:effectExtent l="0" t="0" r="0" b="0"/>
            <wp:wrapSquare wrapText="bothSides"/>
            <wp:docPr id="181085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0627" name="Picture 1810850627"/>
                    <pic:cNvPicPr/>
                  </pic:nvPicPr>
                  <pic:blipFill>
                    <a:blip r:embed="rId5">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anchor>
        </w:drawing>
      </w:r>
      <w:proofErr w:type="gramStart"/>
      <w:r w:rsidRPr="00563060">
        <w:rPr>
          <w:color w:val="ED7D31" w:themeColor="accent2"/>
          <w:lang w:val="en-US"/>
        </w:rPr>
        <w:t>INDUSTRY</w:t>
      </w:r>
      <w:r>
        <w:rPr>
          <w:lang w:val="en-US"/>
        </w:rPr>
        <w:t xml:space="preserve"> :</w:t>
      </w:r>
      <w:proofErr w:type="gramEnd"/>
      <w:r>
        <w:rPr>
          <w:lang w:val="en-US"/>
        </w:rPr>
        <w:t xml:space="preserve"> INVESTMENT BANKING AND FINANCIAL SERVICE COMPANY</w:t>
      </w:r>
    </w:p>
    <w:p w14:paraId="3455F041" w14:textId="566685AC" w:rsidR="00563060" w:rsidRDefault="00563060" w:rsidP="00563060">
      <w:pPr>
        <w:rPr>
          <w:lang w:val="en-US"/>
        </w:rPr>
      </w:pPr>
      <w:r>
        <w:rPr>
          <w:lang w:val="en-US"/>
        </w:rPr>
        <w:t xml:space="preserve">General </w:t>
      </w:r>
      <w:proofErr w:type="gramStart"/>
      <w:r>
        <w:rPr>
          <w:lang w:val="en-US"/>
        </w:rPr>
        <w:t>Overview :</w:t>
      </w:r>
      <w:proofErr w:type="gramEnd"/>
      <w:r>
        <w:rPr>
          <w:lang w:val="en-US"/>
        </w:rPr>
        <w:t xml:space="preserve"> </w:t>
      </w:r>
    </w:p>
    <w:p w14:paraId="16E03E78" w14:textId="77777777" w:rsidR="00563060" w:rsidRPr="00563060" w:rsidRDefault="00563060" w:rsidP="00563060">
      <w:pPr>
        <w:pStyle w:val="NoSpacing"/>
        <w:ind w:left="1440"/>
        <w:jc w:val="center"/>
      </w:pPr>
      <w:r w:rsidRPr="00563060">
        <w:t>Goldman Sachs Group, Inc., commonly known as Goldman Sachs, is a multinational investment bank and financial services company headquartered in New York City, United States. Here's a general overview of Goldman Sachs:</w:t>
      </w:r>
    </w:p>
    <w:p w14:paraId="33C9501F" w14:textId="77777777" w:rsidR="00563060" w:rsidRPr="00563060" w:rsidRDefault="00563060" w:rsidP="00563060">
      <w:pPr>
        <w:pStyle w:val="NoSpacing"/>
      </w:pPr>
    </w:p>
    <w:p w14:paraId="5A6DC5A5" w14:textId="77777777" w:rsidR="00563060" w:rsidRDefault="00563060" w:rsidP="00563060">
      <w:pPr>
        <w:pStyle w:val="Heading2"/>
      </w:pPr>
      <w:r w:rsidRPr="00563060">
        <w:t>History:</w:t>
      </w:r>
    </w:p>
    <w:p w14:paraId="4D137686" w14:textId="4606480E" w:rsidR="00563060" w:rsidRPr="00563060" w:rsidRDefault="00563060" w:rsidP="00563060">
      <w:pPr>
        <w:pStyle w:val="NoSpacing"/>
        <w:jc w:val="center"/>
      </w:pPr>
      <w:r w:rsidRPr="00563060">
        <w:t xml:space="preserve">Goldman Sachs was founded in 1869 by Marcus Goldman. </w:t>
      </w:r>
      <w:r w:rsidR="008A099F">
        <w:rPr>
          <w:rFonts w:ascii="Roboto" w:hAnsi="Roboto"/>
          <w:color w:val="444444"/>
          <w:sz w:val="21"/>
          <w:szCs w:val="21"/>
          <w:shd w:val="clear" w:color="auto" w:fill="FFFFFF"/>
        </w:rPr>
        <w:t>Current and historical current ratio for Goldman Sachs (GS) from 2010 to 2023. Current ratio can be defined as a liquidity ratio that measures a company's ability to pay short-term obligations. Goldman Sachs current ratio for the three months ending December 31, 2023 was </w:t>
      </w:r>
      <w:r w:rsidR="008A099F">
        <w:rPr>
          <w:rStyle w:val="Strong"/>
          <w:rFonts w:ascii="Roboto" w:hAnsi="Roboto"/>
          <w:color w:val="444444"/>
          <w:sz w:val="21"/>
          <w:szCs w:val="21"/>
          <w:shd w:val="clear" w:color="auto" w:fill="FFFFFF"/>
        </w:rPr>
        <w:t>0.77</w:t>
      </w:r>
      <w:r w:rsidR="008A099F">
        <w:rPr>
          <w:rFonts w:ascii="Roboto" w:hAnsi="Roboto"/>
          <w:color w:val="444444"/>
          <w:sz w:val="21"/>
          <w:szCs w:val="21"/>
          <w:shd w:val="clear" w:color="auto" w:fill="FFFFFF"/>
        </w:rPr>
        <w:t>.</w:t>
      </w:r>
    </w:p>
    <w:p w14:paraId="7EB6D488" w14:textId="77777777" w:rsidR="00563060" w:rsidRPr="00563060" w:rsidRDefault="00563060" w:rsidP="00563060">
      <w:pPr>
        <w:pStyle w:val="NoSpacing"/>
        <w:jc w:val="center"/>
      </w:pPr>
    </w:p>
    <w:p w14:paraId="69924BA7" w14:textId="77777777" w:rsidR="00563060" w:rsidRDefault="00563060" w:rsidP="00563060">
      <w:pPr>
        <w:pStyle w:val="NoSpacing"/>
      </w:pPr>
      <w:r w:rsidRPr="00563060">
        <w:rPr>
          <w:rStyle w:val="Heading2Char"/>
        </w:rPr>
        <w:t>Business Segments</w:t>
      </w:r>
      <w:r w:rsidRPr="00563060">
        <w:t>:</w:t>
      </w:r>
    </w:p>
    <w:p w14:paraId="47046E26" w14:textId="05D5BEFF" w:rsidR="00563060" w:rsidRPr="00563060" w:rsidRDefault="00563060" w:rsidP="00563060">
      <w:pPr>
        <w:pStyle w:val="NoSpacing"/>
        <w:jc w:val="center"/>
      </w:pPr>
      <w:r w:rsidRPr="00563060">
        <w:t>Goldman Sachs operates through four main segments:</w:t>
      </w:r>
    </w:p>
    <w:p w14:paraId="100294AE" w14:textId="77777777" w:rsidR="00563060" w:rsidRPr="00563060" w:rsidRDefault="00563060" w:rsidP="00563060">
      <w:pPr>
        <w:pStyle w:val="NoSpacing"/>
        <w:jc w:val="center"/>
      </w:pPr>
    </w:p>
    <w:p w14:paraId="17E53063" w14:textId="740CEC70" w:rsidR="00563060" w:rsidRDefault="00563060" w:rsidP="00563060">
      <w:pPr>
        <w:pStyle w:val="NoSpacing"/>
        <w:jc w:val="center"/>
      </w:pPr>
      <w:r w:rsidRPr="00563060">
        <w:rPr>
          <w:rStyle w:val="Heading3Char"/>
        </w:rPr>
        <w:t>Investment Banking</w:t>
      </w:r>
      <w:r w:rsidRPr="00563060">
        <w:t>:</w:t>
      </w:r>
    </w:p>
    <w:p w14:paraId="4E0E87C4" w14:textId="5BD8669B" w:rsidR="00563060" w:rsidRPr="00563060" w:rsidRDefault="00563060" w:rsidP="00563060">
      <w:pPr>
        <w:pStyle w:val="NoSpacing"/>
        <w:jc w:val="center"/>
      </w:pPr>
      <w:r w:rsidRPr="00563060">
        <w:t>This segment advises clients on mergers and acquisitions, underwrites public offerings, and provides other financial advisory services.</w:t>
      </w:r>
    </w:p>
    <w:p w14:paraId="264251D5" w14:textId="2ED7808C" w:rsidR="00563060" w:rsidRDefault="00563060" w:rsidP="00563060">
      <w:pPr>
        <w:pStyle w:val="NoSpacing"/>
        <w:jc w:val="center"/>
      </w:pPr>
      <w:r w:rsidRPr="00563060">
        <w:rPr>
          <w:rStyle w:val="Heading3Char"/>
        </w:rPr>
        <w:t>Global Markets</w:t>
      </w:r>
      <w:r w:rsidRPr="00563060">
        <w:t>:</w:t>
      </w:r>
    </w:p>
    <w:p w14:paraId="1E7B38A8" w14:textId="304A1CDF" w:rsidR="00563060" w:rsidRPr="00563060" w:rsidRDefault="00563060" w:rsidP="00563060">
      <w:pPr>
        <w:pStyle w:val="NoSpacing"/>
        <w:jc w:val="center"/>
      </w:pPr>
      <w:r w:rsidRPr="00563060">
        <w:t>This segment includes the firm's trading and market-making activities in equities, fixed income, currencies, and commodities.</w:t>
      </w:r>
    </w:p>
    <w:p w14:paraId="581DDBE9" w14:textId="1C6B3814" w:rsidR="00563060" w:rsidRDefault="00563060" w:rsidP="00563060">
      <w:pPr>
        <w:pStyle w:val="NoSpacing"/>
        <w:jc w:val="center"/>
      </w:pPr>
      <w:r w:rsidRPr="00563060">
        <w:rPr>
          <w:rStyle w:val="Heading3Char"/>
        </w:rPr>
        <w:t>Asset Management</w:t>
      </w:r>
      <w:r w:rsidRPr="00563060">
        <w:t>:</w:t>
      </w:r>
    </w:p>
    <w:p w14:paraId="78393F53" w14:textId="63E80BE9" w:rsidR="00563060" w:rsidRPr="00563060" w:rsidRDefault="00563060" w:rsidP="00563060">
      <w:pPr>
        <w:pStyle w:val="NoSpacing"/>
        <w:jc w:val="center"/>
      </w:pPr>
      <w:r w:rsidRPr="00563060">
        <w:t>This segment manages investment portfolios for various clients, including institutions, governments, and individuals.</w:t>
      </w:r>
    </w:p>
    <w:p w14:paraId="489A0D39" w14:textId="77777777" w:rsidR="00563060" w:rsidRDefault="00563060" w:rsidP="00563060">
      <w:pPr>
        <w:pStyle w:val="NoSpacing"/>
        <w:jc w:val="center"/>
      </w:pPr>
      <w:r w:rsidRPr="00563060">
        <w:rPr>
          <w:rStyle w:val="Heading3Char"/>
        </w:rPr>
        <w:t>Consumer &amp; Wealth Management</w:t>
      </w:r>
      <w:r w:rsidRPr="00563060">
        <w:t>:</w:t>
      </w:r>
    </w:p>
    <w:p w14:paraId="473F3921" w14:textId="58531A1A" w:rsidR="00563060" w:rsidRPr="00563060" w:rsidRDefault="00563060" w:rsidP="00563060">
      <w:pPr>
        <w:pStyle w:val="NoSpacing"/>
        <w:jc w:val="center"/>
      </w:pPr>
      <w:r w:rsidRPr="00563060">
        <w:t>This segment provides banking services, loans, wealth management, and financial advisory services to individuals and small businesses.</w:t>
      </w:r>
    </w:p>
    <w:p w14:paraId="796847B3" w14:textId="77777777" w:rsidR="00563060" w:rsidRDefault="00563060" w:rsidP="00563060">
      <w:pPr>
        <w:pStyle w:val="NoSpacing"/>
        <w:jc w:val="center"/>
        <w:rPr>
          <w:rStyle w:val="Heading3Char"/>
        </w:rPr>
      </w:pPr>
      <w:r w:rsidRPr="00563060">
        <w:rPr>
          <w:rStyle w:val="Heading3Char"/>
        </w:rPr>
        <w:t>Global Presence:</w:t>
      </w:r>
    </w:p>
    <w:p w14:paraId="5F7F8911" w14:textId="071D3230" w:rsidR="00563060" w:rsidRPr="00563060" w:rsidRDefault="00563060" w:rsidP="00563060">
      <w:pPr>
        <w:pStyle w:val="NoSpacing"/>
        <w:jc w:val="center"/>
      </w:pPr>
      <w:r w:rsidRPr="00563060">
        <w:t xml:space="preserve">Goldman Sachs has a significant global presence, with offices in major financial </w:t>
      </w:r>
      <w:proofErr w:type="spellStart"/>
      <w:r w:rsidRPr="00563060">
        <w:t>centers</w:t>
      </w:r>
      <w:proofErr w:type="spellEnd"/>
      <w:r w:rsidRPr="00563060">
        <w:t xml:space="preserve"> around the world, including New York, London, Tokyo, Hong Kong, and others.</w:t>
      </w:r>
    </w:p>
    <w:p w14:paraId="3ABA4876" w14:textId="77777777" w:rsidR="00563060" w:rsidRPr="00563060" w:rsidRDefault="00563060" w:rsidP="00563060">
      <w:pPr>
        <w:pStyle w:val="NoSpacing"/>
        <w:jc w:val="center"/>
      </w:pPr>
    </w:p>
    <w:p w14:paraId="78DF0067" w14:textId="77777777" w:rsidR="00563060" w:rsidRDefault="00563060" w:rsidP="00563060">
      <w:pPr>
        <w:pStyle w:val="NoSpacing"/>
        <w:jc w:val="center"/>
      </w:pPr>
      <w:r w:rsidRPr="00563060">
        <w:rPr>
          <w:rStyle w:val="Heading3Char"/>
        </w:rPr>
        <w:t>Key Offerings</w:t>
      </w:r>
      <w:r w:rsidRPr="00563060">
        <w:t>:</w:t>
      </w:r>
    </w:p>
    <w:p w14:paraId="177AB74D" w14:textId="061B0DA5" w:rsidR="00563060" w:rsidRPr="00563060" w:rsidRDefault="00563060" w:rsidP="00563060">
      <w:pPr>
        <w:pStyle w:val="NoSpacing"/>
        <w:jc w:val="center"/>
      </w:pPr>
      <w:r w:rsidRPr="00563060">
        <w:lastRenderedPageBreak/>
        <w:t>The company offers a wide range of financial services, including investment banking, institutional investing, asset management, securities trading, wealth management, and consumer banking.</w:t>
      </w:r>
    </w:p>
    <w:p w14:paraId="59D6D60B" w14:textId="77777777" w:rsidR="00563060" w:rsidRPr="00563060" w:rsidRDefault="00563060" w:rsidP="00563060">
      <w:pPr>
        <w:pStyle w:val="NoSpacing"/>
        <w:jc w:val="center"/>
      </w:pPr>
    </w:p>
    <w:p w14:paraId="4D8F1EB9" w14:textId="77777777" w:rsidR="00563060" w:rsidRDefault="00563060" w:rsidP="00563060">
      <w:pPr>
        <w:pStyle w:val="NoSpacing"/>
        <w:jc w:val="center"/>
      </w:pPr>
      <w:r w:rsidRPr="00563060">
        <w:rPr>
          <w:rStyle w:val="Heading3Char"/>
        </w:rPr>
        <w:t>Notable Events</w:t>
      </w:r>
      <w:r w:rsidRPr="00563060">
        <w:t>:</w:t>
      </w:r>
    </w:p>
    <w:p w14:paraId="21DE525E" w14:textId="56E71AE1" w:rsidR="00563060" w:rsidRPr="00563060" w:rsidRDefault="00563060" w:rsidP="00563060">
      <w:pPr>
        <w:pStyle w:val="NoSpacing"/>
        <w:jc w:val="center"/>
      </w:pPr>
      <w:r w:rsidRPr="00563060">
        <w:t>Goldman Sachs has been involved in various notable financial transactions and controversies over the years, including its role in the subprime mortgage crisis of 2008 and subsequent regulatory scrutiny.</w:t>
      </w:r>
    </w:p>
    <w:p w14:paraId="690AA8FA" w14:textId="77777777" w:rsidR="00563060" w:rsidRPr="00563060" w:rsidRDefault="00563060" w:rsidP="00563060">
      <w:pPr>
        <w:pStyle w:val="NoSpacing"/>
        <w:jc w:val="center"/>
      </w:pPr>
    </w:p>
    <w:p w14:paraId="6E4128BE" w14:textId="77777777" w:rsidR="00563060" w:rsidRDefault="00563060" w:rsidP="00563060">
      <w:pPr>
        <w:pStyle w:val="NoSpacing"/>
        <w:jc w:val="center"/>
        <w:rPr>
          <w:rStyle w:val="Heading3Char"/>
        </w:rPr>
      </w:pPr>
      <w:r w:rsidRPr="00563060">
        <w:rPr>
          <w:rStyle w:val="Heading3Char"/>
        </w:rPr>
        <w:t>Leadership:</w:t>
      </w:r>
    </w:p>
    <w:p w14:paraId="59016DF0" w14:textId="7AFEFC75" w:rsidR="00563060" w:rsidRPr="00563060" w:rsidRDefault="00563060" w:rsidP="00563060">
      <w:pPr>
        <w:pStyle w:val="NoSpacing"/>
        <w:jc w:val="center"/>
      </w:pPr>
      <w:r w:rsidRPr="00563060">
        <w:t>The company is led by a board of directors and executive officers, with David M. Solomon serving as Chairman and Chief Executive Officer (CEO) as of my last update.</w:t>
      </w:r>
    </w:p>
    <w:p w14:paraId="26E37857" w14:textId="77777777" w:rsidR="00563060" w:rsidRPr="00563060" w:rsidRDefault="00563060" w:rsidP="00563060">
      <w:pPr>
        <w:pStyle w:val="NoSpacing"/>
        <w:jc w:val="center"/>
      </w:pPr>
    </w:p>
    <w:p w14:paraId="4D08EB23" w14:textId="77777777" w:rsidR="00563060" w:rsidRDefault="00563060" w:rsidP="00563060">
      <w:pPr>
        <w:pStyle w:val="NoSpacing"/>
        <w:jc w:val="center"/>
      </w:pPr>
      <w:r w:rsidRPr="00563060">
        <w:rPr>
          <w:rStyle w:val="Heading3Char"/>
        </w:rPr>
        <w:t>Financial Performance</w:t>
      </w:r>
      <w:r w:rsidRPr="00563060">
        <w:t>:</w:t>
      </w:r>
    </w:p>
    <w:p w14:paraId="7F8C6783" w14:textId="232802BA" w:rsidR="00563060" w:rsidRPr="00563060" w:rsidRDefault="00563060" w:rsidP="00563060">
      <w:pPr>
        <w:pStyle w:val="NoSpacing"/>
        <w:jc w:val="center"/>
      </w:pPr>
      <w:r w:rsidRPr="00563060">
        <w:t>As a publicly traded company, Goldman Sachs regularly reports its financial performance to investors. Its revenue and earnings can vary based on market conditions, economic factors, and the performance of its various business segments.</w:t>
      </w:r>
    </w:p>
    <w:p w14:paraId="486BF87D" w14:textId="77777777" w:rsidR="00563060" w:rsidRPr="00563060" w:rsidRDefault="00563060" w:rsidP="00563060">
      <w:pPr>
        <w:pStyle w:val="NoSpacing"/>
      </w:pPr>
    </w:p>
    <w:p w14:paraId="761508DF" w14:textId="71289C76" w:rsidR="00563060" w:rsidRDefault="00563060" w:rsidP="00563060">
      <w:pPr>
        <w:pStyle w:val="NoSpacing"/>
      </w:pPr>
      <w:r w:rsidRPr="00563060">
        <w:t>Overall, Goldman Sachs is a prominent player in the global financial industry, known for its investment banking expertise, trading prowess, and extensive client network.</w:t>
      </w:r>
    </w:p>
    <w:p w14:paraId="6494E42D" w14:textId="77777777" w:rsidR="00563060" w:rsidRDefault="00563060" w:rsidP="00563060">
      <w:pPr>
        <w:pStyle w:val="NoSpacing"/>
      </w:pPr>
    </w:p>
    <w:p w14:paraId="5CF72859" w14:textId="49FF3073" w:rsidR="00563060" w:rsidRDefault="00040774" w:rsidP="00040774">
      <w:pPr>
        <w:pStyle w:val="Heading2"/>
      </w:pPr>
      <w:r>
        <w:t xml:space="preserve">HISTORICAL PRICE </w:t>
      </w:r>
      <w:proofErr w:type="gramStart"/>
      <w:r>
        <w:t>DATA :</w:t>
      </w:r>
      <w:proofErr w:type="gramEnd"/>
      <w:r>
        <w:t xml:space="preserve">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4111"/>
      </w:tblGrid>
      <w:tr w:rsidR="00040774" w:rsidRPr="00040774" w14:paraId="1FC674DB" w14:textId="77777777" w:rsidTr="00040774">
        <w:trPr>
          <w:trHeight w:val="540"/>
        </w:trPr>
        <w:tc>
          <w:tcPr>
            <w:tcW w:w="4531" w:type="dxa"/>
            <w:tcMar>
              <w:top w:w="0" w:type="dxa"/>
              <w:left w:w="0" w:type="dxa"/>
              <w:bottom w:w="0" w:type="dxa"/>
              <w:right w:w="0" w:type="dxa"/>
            </w:tcMar>
            <w:vAlign w:val="center"/>
            <w:hideMark/>
          </w:tcPr>
          <w:p w14:paraId="1C219D0C"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Previous Close</w:t>
            </w:r>
          </w:p>
        </w:tc>
        <w:tc>
          <w:tcPr>
            <w:tcW w:w="4111" w:type="dxa"/>
            <w:tcMar>
              <w:top w:w="0" w:type="dxa"/>
              <w:left w:w="0" w:type="dxa"/>
              <w:bottom w:w="0" w:type="dxa"/>
              <w:right w:w="0" w:type="dxa"/>
            </w:tcMar>
            <w:vAlign w:val="center"/>
            <w:hideMark/>
          </w:tcPr>
          <w:p w14:paraId="5092835D"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406.25</w:t>
            </w:r>
          </w:p>
        </w:tc>
      </w:tr>
      <w:tr w:rsidR="00040774" w:rsidRPr="00040774" w14:paraId="0EE6B57A" w14:textId="77777777" w:rsidTr="00040774">
        <w:trPr>
          <w:trHeight w:val="540"/>
        </w:trPr>
        <w:tc>
          <w:tcPr>
            <w:tcW w:w="4531" w:type="dxa"/>
            <w:tcMar>
              <w:top w:w="0" w:type="dxa"/>
              <w:left w:w="0" w:type="dxa"/>
              <w:bottom w:w="0" w:type="dxa"/>
              <w:right w:w="0" w:type="dxa"/>
            </w:tcMar>
            <w:vAlign w:val="center"/>
            <w:hideMark/>
          </w:tcPr>
          <w:p w14:paraId="1B7DC8E2"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Open</w:t>
            </w:r>
          </w:p>
        </w:tc>
        <w:tc>
          <w:tcPr>
            <w:tcW w:w="4111" w:type="dxa"/>
            <w:tcMar>
              <w:top w:w="0" w:type="dxa"/>
              <w:left w:w="0" w:type="dxa"/>
              <w:bottom w:w="0" w:type="dxa"/>
              <w:right w:w="0" w:type="dxa"/>
            </w:tcMar>
            <w:vAlign w:val="center"/>
            <w:hideMark/>
          </w:tcPr>
          <w:p w14:paraId="439038FA"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406.56</w:t>
            </w:r>
          </w:p>
        </w:tc>
      </w:tr>
      <w:tr w:rsidR="00040774" w:rsidRPr="00040774" w14:paraId="77B72192" w14:textId="77777777" w:rsidTr="00040774">
        <w:trPr>
          <w:trHeight w:val="540"/>
        </w:trPr>
        <w:tc>
          <w:tcPr>
            <w:tcW w:w="4531" w:type="dxa"/>
            <w:tcMar>
              <w:top w:w="0" w:type="dxa"/>
              <w:left w:w="0" w:type="dxa"/>
              <w:bottom w:w="0" w:type="dxa"/>
              <w:right w:w="0" w:type="dxa"/>
            </w:tcMar>
            <w:vAlign w:val="center"/>
            <w:hideMark/>
          </w:tcPr>
          <w:p w14:paraId="43CCB6F4"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Bid</w:t>
            </w:r>
          </w:p>
        </w:tc>
        <w:tc>
          <w:tcPr>
            <w:tcW w:w="4111" w:type="dxa"/>
            <w:tcMar>
              <w:top w:w="0" w:type="dxa"/>
              <w:left w:w="0" w:type="dxa"/>
              <w:bottom w:w="0" w:type="dxa"/>
              <w:right w:w="0" w:type="dxa"/>
            </w:tcMar>
            <w:vAlign w:val="center"/>
            <w:hideMark/>
          </w:tcPr>
          <w:p w14:paraId="1F9379DF"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408.45 x 800</w:t>
            </w:r>
          </w:p>
        </w:tc>
      </w:tr>
      <w:tr w:rsidR="00040774" w:rsidRPr="00040774" w14:paraId="0C11EAE8" w14:textId="77777777" w:rsidTr="00040774">
        <w:trPr>
          <w:trHeight w:val="540"/>
        </w:trPr>
        <w:tc>
          <w:tcPr>
            <w:tcW w:w="4531" w:type="dxa"/>
            <w:tcMar>
              <w:top w:w="0" w:type="dxa"/>
              <w:left w:w="0" w:type="dxa"/>
              <w:bottom w:w="0" w:type="dxa"/>
              <w:right w:w="0" w:type="dxa"/>
            </w:tcMar>
            <w:vAlign w:val="center"/>
            <w:hideMark/>
          </w:tcPr>
          <w:p w14:paraId="478FDBC5"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Ask</w:t>
            </w:r>
          </w:p>
        </w:tc>
        <w:tc>
          <w:tcPr>
            <w:tcW w:w="4111" w:type="dxa"/>
            <w:tcMar>
              <w:top w:w="0" w:type="dxa"/>
              <w:left w:w="0" w:type="dxa"/>
              <w:bottom w:w="0" w:type="dxa"/>
              <w:right w:w="0" w:type="dxa"/>
            </w:tcMar>
            <w:vAlign w:val="center"/>
            <w:hideMark/>
          </w:tcPr>
          <w:p w14:paraId="74EEE69C"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407.51 x 1100</w:t>
            </w:r>
          </w:p>
        </w:tc>
      </w:tr>
      <w:tr w:rsidR="00040774" w:rsidRPr="00040774" w14:paraId="25861F03" w14:textId="77777777" w:rsidTr="00040774">
        <w:trPr>
          <w:trHeight w:val="540"/>
        </w:trPr>
        <w:tc>
          <w:tcPr>
            <w:tcW w:w="4531" w:type="dxa"/>
            <w:tcMar>
              <w:top w:w="0" w:type="dxa"/>
              <w:left w:w="0" w:type="dxa"/>
              <w:bottom w:w="0" w:type="dxa"/>
              <w:right w:w="0" w:type="dxa"/>
            </w:tcMar>
            <w:vAlign w:val="center"/>
            <w:hideMark/>
          </w:tcPr>
          <w:p w14:paraId="266D800E"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Day's Range</w:t>
            </w:r>
          </w:p>
        </w:tc>
        <w:tc>
          <w:tcPr>
            <w:tcW w:w="4111" w:type="dxa"/>
            <w:tcMar>
              <w:top w:w="0" w:type="dxa"/>
              <w:left w:w="0" w:type="dxa"/>
              <w:bottom w:w="0" w:type="dxa"/>
              <w:right w:w="0" w:type="dxa"/>
            </w:tcMar>
            <w:vAlign w:val="center"/>
            <w:hideMark/>
          </w:tcPr>
          <w:p w14:paraId="51D64E49"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401.47 - 409.14</w:t>
            </w:r>
          </w:p>
        </w:tc>
      </w:tr>
      <w:tr w:rsidR="00040774" w:rsidRPr="00040774" w14:paraId="1B8A19C0" w14:textId="77777777" w:rsidTr="00040774">
        <w:trPr>
          <w:trHeight w:val="540"/>
        </w:trPr>
        <w:tc>
          <w:tcPr>
            <w:tcW w:w="4531" w:type="dxa"/>
            <w:tcMar>
              <w:top w:w="0" w:type="dxa"/>
              <w:left w:w="0" w:type="dxa"/>
              <w:bottom w:w="0" w:type="dxa"/>
              <w:right w:w="0" w:type="dxa"/>
            </w:tcMar>
            <w:vAlign w:val="center"/>
            <w:hideMark/>
          </w:tcPr>
          <w:p w14:paraId="25607D6C"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52 Week Range</w:t>
            </w:r>
          </w:p>
        </w:tc>
        <w:tc>
          <w:tcPr>
            <w:tcW w:w="4111" w:type="dxa"/>
            <w:tcMar>
              <w:top w:w="0" w:type="dxa"/>
              <w:left w:w="0" w:type="dxa"/>
              <w:bottom w:w="0" w:type="dxa"/>
              <w:right w:w="0" w:type="dxa"/>
            </w:tcMar>
            <w:vAlign w:val="center"/>
            <w:hideMark/>
          </w:tcPr>
          <w:p w14:paraId="01B86F15"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289.36 - 419.20</w:t>
            </w:r>
          </w:p>
        </w:tc>
      </w:tr>
      <w:tr w:rsidR="00040774" w:rsidRPr="00040774" w14:paraId="4BFFE6BF" w14:textId="77777777" w:rsidTr="00040774">
        <w:trPr>
          <w:trHeight w:val="540"/>
        </w:trPr>
        <w:tc>
          <w:tcPr>
            <w:tcW w:w="4531" w:type="dxa"/>
            <w:tcMar>
              <w:top w:w="0" w:type="dxa"/>
              <w:left w:w="0" w:type="dxa"/>
              <w:bottom w:w="0" w:type="dxa"/>
              <w:right w:w="0" w:type="dxa"/>
            </w:tcMar>
            <w:vAlign w:val="center"/>
            <w:hideMark/>
          </w:tcPr>
          <w:p w14:paraId="1C0A992C"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Volume</w:t>
            </w:r>
          </w:p>
        </w:tc>
        <w:tc>
          <w:tcPr>
            <w:tcW w:w="4111" w:type="dxa"/>
            <w:tcMar>
              <w:top w:w="0" w:type="dxa"/>
              <w:left w:w="0" w:type="dxa"/>
              <w:bottom w:w="0" w:type="dxa"/>
              <w:right w:w="0" w:type="dxa"/>
            </w:tcMar>
            <w:vAlign w:val="center"/>
            <w:hideMark/>
          </w:tcPr>
          <w:p w14:paraId="5DA2DCDD"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1,688,415</w:t>
            </w:r>
          </w:p>
        </w:tc>
      </w:tr>
      <w:tr w:rsidR="00040774" w:rsidRPr="00040774" w14:paraId="3634A753" w14:textId="77777777" w:rsidTr="00040774">
        <w:trPr>
          <w:trHeight w:val="540"/>
        </w:trPr>
        <w:tc>
          <w:tcPr>
            <w:tcW w:w="4531" w:type="dxa"/>
            <w:tcMar>
              <w:top w:w="0" w:type="dxa"/>
              <w:left w:w="0" w:type="dxa"/>
              <w:bottom w:w="0" w:type="dxa"/>
              <w:right w:w="0" w:type="dxa"/>
            </w:tcMar>
            <w:vAlign w:val="center"/>
            <w:hideMark/>
          </w:tcPr>
          <w:p w14:paraId="33440CC6"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Avg. Volume</w:t>
            </w:r>
          </w:p>
        </w:tc>
        <w:tc>
          <w:tcPr>
            <w:tcW w:w="4111" w:type="dxa"/>
            <w:tcMar>
              <w:top w:w="0" w:type="dxa"/>
              <w:left w:w="0" w:type="dxa"/>
              <w:bottom w:w="0" w:type="dxa"/>
              <w:right w:w="0" w:type="dxa"/>
            </w:tcMar>
            <w:vAlign w:val="center"/>
            <w:hideMark/>
          </w:tcPr>
          <w:p w14:paraId="54AAC42C"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2,301,643</w:t>
            </w:r>
          </w:p>
        </w:tc>
      </w:tr>
      <w:tr w:rsidR="00040774" w:rsidRPr="00040774" w14:paraId="59A094C6" w14:textId="77777777" w:rsidTr="00040774">
        <w:trPr>
          <w:trHeight w:val="540"/>
        </w:trPr>
        <w:tc>
          <w:tcPr>
            <w:tcW w:w="4531" w:type="dxa"/>
            <w:tcMar>
              <w:top w:w="0" w:type="dxa"/>
              <w:left w:w="0" w:type="dxa"/>
              <w:bottom w:w="0" w:type="dxa"/>
              <w:right w:w="0" w:type="dxa"/>
            </w:tcMar>
            <w:vAlign w:val="center"/>
            <w:hideMark/>
          </w:tcPr>
          <w:p w14:paraId="1D03DEBD"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Market Cap</w:t>
            </w:r>
          </w:p>
        </w:tc>
        <w:tc>
          <w:tcPr>
            <w:tcW w:w="4111" w:type="dxa"/>
            <w:tcMar>
              <w:top w:w="0" w:type="dxa"/>
              <w:left w:w="0" w:type="dxa"/>
              <w:bottom w:w="0" w:type="dxa"/>
              <w:right w:w="0" w:type="dxa"/>
            </w:tcMar>
            <w:vAlign w:val="center"/>
            <w:hideMark/>
          </w:tcPr>
          <w:p w14:paraId="3884CC5B"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132.43B</w:t>
            </w:r>
          </w:p>
        </w:tc>
      </w:tr>
      <w:tr w:rsidR="00040774" w:rsidRPr="00040774" w14:paraId="25F0ACF1" w14:textId="77777777" w:rsidTr="00040774">
        <w:trPr>
          <w:trHeight w:val="540"/>
        </w:trPr>
        <w:tc>
          <w:tcPr>
            <w:tcW w:w="4531" w:type="dxa"/>
            <w:tcMar>
              <w:top w:w="0" w:type="dxa"/>
              <w:left w:w="0" w:type="dxa"/>
              <w:bottom w:w="0" w:type="dxa"/>
              <w:right w:w="0" w:type="dxa"/>
            </w:tcMar>
            <w:vAlign w:val="center"/>
            <w:hideMark/>
          </w:tcPr>
          <w:p w14:paraId="00786858"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Beta (5Y Monthly)</w:t>
            </w:r>
          </w:p>
        </w:tc>
        <w:tc>
          <w:tcPr>
            <w:tcW w:w="4111" w:type="dxa"/>
            <w:tcMar>
              <w:top w:w="0" w:type="dxa"/>
              <w:left w:w="0" w:type="dxa"/>
              <w:bottom w:w="0" w:type="dxa"/>
              <w:right w:w="0" w:type="dxa"/>
            </w:tcMar>
            <w:vAlign w:val="center"/>
            <w:hideMark/>
          </w:tcPr>
          <w:p w14:paraId="2647A77A"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1.42</w:t>
            </w:r>
          </w:p>
        </w:tc>
      </w:tr>
      <w:tr w:rsidR="00040774" w:rsidRPr="00040774" w14:paraId="4DFE0C6D" w14:textId="77777777" w:rsidTr="00040774">
        <w:trPr>
          <w:trHeight w:val="540"/>
        </w:trPr>
        <w:tc>
          <w:tcPr>
            <w:tcW w:w="4531" w:type="dxa"/>
            <w:tcMar>
              <w:top w:w="0" w:type="dxa"/>
              <w:left w:w="0" w:type="dxa"/>
              <w:bottom w:w="0" w:type="dxa"/>
              <w:right w:w="0" w:type="dxa"/>
            </w:tcMar>
            <w:vAlign w:val="center"/>
            <w:hideMark/>
          </w:tcPr>
          <w:p w14:paraId="1D2772AE"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PE Ratio (TTM)</w:t>
            </w:r>
          </w:p>
        </w:tc>
        <w:tc>
          <w:tcPr>
            <w:tcW w:w="4111" w:type="dxa"/>
            <w:tcMar>
              <w:top w:w="0" w:type="dxa"/>
              <w:left w:w="0" w:type="dxa"/>
              <w:bottom w:w="0" w:type="dxa"/>
              <w:right w:w="0" w:type="dxa"/>
            </w:tcMar>
            <w:vAlign w:val="center"/>
            <w:hideMark/>
          </w:tcPr>
          <w:p w14:paraId="0D67463B"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17.84</w:t>
            </w:r>
          </w:p>
        </w:tc>
      </w:tr>
      <w:tr w:rsidR="00040774" w:rsidRPr="00040774" w14:paraId="75CD2CE7" w14:textId="77777777" w:rsidTr="00040774">
        <w:trPr>
          <w:trHeight w:val="540"/>
        </w:trPr>
        <w:tc>
          <w:tcPr>
            <w:tcW w:w="4531" w:type="dxa"/>
            <w:tcMar>
              <w:top w:w="0" w:type="dxa"/>
              <w:left w:w="0" w:type="dxa"/>
              <w:bottom w:w="0" w:type="dxa"/>
              <w:right w:w="0" w:type="dxa"/>
            </w:tcMar>
            <w:vAlign w:val="center"/>
            <w:hideMark/>
          </w:tcPr>
          <w:p w14:paraId="262FA2A1"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EPS (TTM)</w:t>
            </w:r>
          </w:p>
        </w:tc>
        <w:tc>
          <w:tcPr>
            <w:tcW w:w="4111" w:type="dxa"/>
            <w:tcMar>
              <w:top w:w="0" w:type="dxa"/>
              <w:left w:w="0" w:type="dxa"/>
              <w:bottom w:w="0" w:type="dxa"/>
              <w:right w:w="0" w:type="dxa"/>
            </w:tcMar>
            <w:vAlign w:val="center"/>
            <w:hideMark/>
          </w:tcPr>
          <w:p w14:paraId="0C7EC160"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22.88</w:t>
            </w:r>
          </w:p>
        </w:tc>
      </w:tr>
      <w:tr w:rsidR="00040774" w:rsidRPr="00040774" w14:paraId="62D89AEB" w14:textId="77777777" w:rsidTr="00040774">
        <w:trPr>
          <w:trHeight w:val="540"/>
        </w:trPr>
        <w:tc>
          <w:tcPr>
            <w:tcW w:w="4531" w:type="dxa"/>
            <w:tcMar>
              <w:top w:w="0" w:type="dxa"/>
              <w:left w:w="0" w:type="dxa"/>
              <w:bottom w:w="0" w:type="dxa"/>
              <w:right w:w="0" w:type="dxa"/>
            </w:tcMar>
            <w:vAlign w:val="center"/>
            <w:hideMark/>
          </w:tcPr>
          <w:p w14:paraId="5B40A07D"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Earnings Date</w:t>
            </w:r>
          </w:p>
        </w:tc>
        <w:tc>
          <w:tcPr>
            <w:tcW w:w="4111" w:type="dxa"/>
            <w:tcMar>
              <w:top w:w="0" w:type="dxa"/>
              <w:left w:w="0" w:type="dxa"/>
              <w:bottom w:w="0" w:type="dxa"/>
              <w:right w:w="0" w:type="dxa"/>
            </w:tcMar>
            <w:vAlign w:val="center"/>
            <w:hideMark/>
          </w:tcPr>
          <w:p w14:paraId="5959BDF1"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Apr 15, 2024</w:t>
            </w:r>
          </w:p>
        </w:tc>
      </w:tr>
      <w:tr w:rsidR="00040774" w:rsidRPr="00040774" w14:paraId="735F9EC0" w14:textId="77777777" w:rsidTr="00040774">
        <w:trPr>
          <w:trHeight w:val="540"/>
        </w:trPr>
        <w:tc>
          <w:tcPr>
            <w:tcW w:w="4531" w:type="dxa"/>
            <w:tcMar>
              <w:top w:w="0" w:type="dxa"/>
              <w:left w:w="0" w:type="dxa"/>
              <w:bottom w:w="0" w:type="dxa"/>
              <w:right w:w="0" w:type="dxa"/>
            </w:tcMar>
            <w:vAlign w:val="center"/>
            <w:hideMark/>
          </w:tcPr>
          <w:p w14:paraId="2ABC1771"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Forward Dividend &amp; Yield</w:t>
            </w:r>
          </w:p>
        </w:tc>
        <w:tc>
          <w:tcPr>
            <w:tcW w:w="4111" w:type="dxa"/>
            <w:tcMar>
              <w:top w:w="0" w:type="dxa"/>
              <w:left w:w="0" w:type="dxa"/>
              <w:bottom w:w="0" w:type="dxa"/>
              <w:right w:w="0" w:type="dxa"/>
            </w:tcMar>
            <w:vAlign w:val="center"/>
            <w:hideMark/>
          </w:tcPr>
          <w:p w14:paraId="0CDC1D60"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11.00 (2.65%)</w:t>
            </w:r>
          </w:p>
        </w:tc>
      </w:tr>
      <w:tr w:rsidR="00040774" w:rsidRPr="00040774" w14:paraId="405AE67A" w14:textId="77777777" w:rsidTr="00040774">
        <w:trPr>
          <w:trHeight w:val="540"/>
        </w:trPr>
        <w:tc>
          <w:tcPr>
            <w:tcW w:w="4531" w:type="dxa"/>
            <w:tcMar>
              <w:top w:w="0" w:type="dxa"/>
              <w:left w:w="0" w:type="dxa"/>
              <w:bottom w:w="0" w:type="dxa"/>
              <w:right w:w="0" w:type="dxa"/>
            </w:tcMar>
            <w:vAlign w:val="center"/>
            <w:hideMark/>
          </w:tcPr>
          <w:p w14:paraId="365A1267"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lastRenderedPageBreak/>
              <w:t>Ex-Dividend Date</w:t>
            </w:r>
          </w:p>
        </w:tc>
        <w:tc>
          <w:tcPr>
            <w:tcW w:w="4111" w:type="dxa"/>
            <w:tcMar>
              <w:top w:w="0" w:type="dxa"/>
              <w:left w:w="0" w:type="dxa"/>
              <w:bottom w:w="0" w:type="dxa"/>
              <w:right w:w="0" w:type="dxa"/>
            </w:tcMar>
            <w:vAlign w:val="center"/>
            <w:hideMark/>
          </w:tcPr>
          <w:p w14:paraId="3880CD90"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Feb 28, 2024</w:t>
            </w:r>
          </w:p>
        </w:tc>
      </w:tr>
      <w:tr w:rsidR="00040774" w:rsidRPr="00040774" w14:paraId="58006589" w14:textId="77777777" w:rsidTr="00040774">
        <w:trPr>
          <w:trHeight w:val="46"/>
        </w:trPr>
        <w:tc>
          <w:tcPr>
            <w:tcW w:w="4531" w:type="dxa"/>
            <w:tcMar>
              <w:top w:w="0" w:type="dxa"/>
              <w:left w:w="0" w:type="dxa"/>
              <w:bottom w:w="0" w:type="dxa"/>
              <w:right w:w="0" w:type="dxa"/>
            </w:tcMar>
            <w:vAlign w:val="center"/>
            <w:hideMark/>
          </w:tcPr>
          <w:p w14:paraId="7A48B600" w14:textId="77777777" w:rsidR="00040774" w:rsidRPr="00040774" w:rsidRDefault="00040774" w:rsidP="00040774">
            <w:pPr>
              <w:spacing w:after="0" w:line="240" w:lineRule="auto"/>
              <w:jc w:val="center"/>
              <w:rPr>
                <w:rFonts w:ascii="Times New Roman" w:eastAsia="Times New Roman" w:hAnsi="Times New Roman" w:cs="Times New Roman"/>
                <w:kern w:val="0"/>
                <w:sz w:val="24"/>
                <w:szCs w:val="24"/>
                <w:lang w:eastAsia="en-IN"/>
                <w14:ligatures w14:val="none"/>
              </w:rPr>
            </w:pPr>
            <w:r w:rsidRPr="00040774">
              <w:rPr>
                <w:rFonts w:ascii="Times New Roman" w:eastAsia="Times New Roman" w:hAnsi="Times New Roman" w:cs="Times New Roman"/>
                <w:kern w:val="0"/>
                <w:sz w:val="24"/>
                <w:szCs w:val="24"/>
                <w:lang w:eastAsia="en-IN"/>
                <w14:ligatures w14:val="none"/>
              </w:rPr>
              <w:t>1y Target Est</w:t>
            </w:r>
          </w:p>
        </w:tc>
        <w:tc>
          <w:tcPr>
            <w:tcW w:w="4111" w:type="dxa"/>
            <w:tcMar>
              <w:top w:w="0" w:type="dxa"/>
              <w:left w:w="0" w:type="dxa"/>
              <w:bottom w:w="0" w:type="dxa"/>
              <w:right w:w="0" w:type="dxa"/>
            </w:tcMar>
            <w:vAlign w:val="center"/>
            <w:hideMark/>
          </w:tcPr>
          <w:p w14:paraId="527B1C7A" w14:textId="77777777" w:rsidR="00040774" w:rsidRPr="00040774" w:rsidRDefault="00040774" w:rsidP="00040774">
            <w:pPr>
              <w:spacing w:after="0" w:line="210" w:lineRule="atLeast"/>
              <w:jc w:val="center"/>
              <w:rPr>
                <w:rFonts w:ascii="Times New Roman" w:eastAsia="Times New Roman" w:hAnsi="Times New Roman" w:cs="Times New Roman"/>
                <w:b/>
                <w:bCs/>
                <w:kern w:val="0"/>
                <w:sz w:val="24"/>
                <w:szCs w:val="24"/>
                <w:lang w:eastAsia="en-IN"/>
                <w14:ligatures w14:val="none"/>
              </w:rPr>
            </w:pPr>
            <w:r w:rsidRPr="00040774">
              <w:rPr>
                <w:rFonts w:ascii="Times New Roman" w:eastAsia="Times New Roman" w:hAnsi="Times New Roman" w:cs="Times New Roman"/>
                <w:b/>
                <w:bCs/>
                <w:kern w:val="0"/>
                <w:sz w:val="24"/>
                <w:szCs w:val="24"/>
                <w:lang w:eastAsia="en-IN"/>
                <w14:ligatures w14:val="none"/>
              </w:rPr>
              <w:t>428.15</w:t>
            </w:r>
          </w:p>
        </w:tc>
      </w:tr>
    </w:tbl>
    <w:p w14:paraId="54704225" w14:textId="77777777" w:rsidR="00040774" w:rsidRPr="00040774" w:rsidRDefault="00040774" w:rsidP="00040774">
      <w:pPr>
        <w:jc w:val="center"/>
      </w:pPr>
    </w:p>
    <w:p w14:paraId="25C5FC3A" w14:textId="28E32D88" w:rsidR="00563060" w:rsidRDefault="00040774" w:rsidP="00040774">
      <w:pPr>
        <w:pStyle w:val="NoSpacing"/>
        <w:jc w:val="center"/>
      </w:pPr>
      <w:r>
        <w:rPr>
          <w:noProof/>
        </w:rPr>
        <w:drawing>
          <wp:inline distT="0" distB="0" distL="0" distR="0" wp14:anchorId="2E568902" wp14:editId="5495877A">
            <wp:extent cx="5731510" cy="2516904"/>
            <wp:effectExtent l="0" t="0" r="2540" b="0"/>
            <wp:docPr id="15848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3469" name="Picture 158483469"/>
                    <pic:cNvPicPr/>
                  </pic:nvPicPr>
                  <pic:blipFill>
                    <a:blip r:embed="rId6">
                      <a:extLst>
                        <a:ext uri="{28A0092B-C50C-407E-A947-70E740481C1C}">
                          <a14:useLocalDpi xmlns:a14="http://schemas.microsoft.com/office/drawing/2010/main" val="0"/>
                        </a:ext>
                      </a:extLst>
                    </a:blip>
                    <a:stretch>
                      <a:fillRect/>
                    </a:stretch>
                  </pic:blipFill>
                  <pic:spPr>
                    <a:xfrm>
                      <a:off x="0" y="0"/>
                      <a:ext cx="5734286" cy="2518123"/>
                    </a:xfrm>
                    <a:prstGeom prst="rect">
                      <a:avLst/>
                    </a:prstGeom>
                  </pic:spPr>
                </pic:pic>
              </a:graphicData>
            </a:graphic>
          </wp:inline>
        </w:drawing>
      </w:r>
    </w:p>
    <w:p w14:paraId="1B18D43A" w14:textId="77777777" w:rsidR="00040774" w:rsidRDefault="00040774" w:rsidP="00040774">
      <w:pPr>
        <w:pStyle w:val="NoSpacing"/>
        <w:jc w:val="center"/>
      </w:pPr>
    </w:p>
    <w:p w14:paraId="64ECDE19" w14:textId="14CB9CAB" w:rsidR="00040774" w:rsidRDefault="00040774" w:rsidP="00040774">
      <w:pPr>
        <w:pStyle w:val="NoSpacing"/>
        <w:jc w:val="center"/>
        <w:rPr>
          <w:b/>
          <w:bCs/>
        </w:rPr>
      </w:pPr>
      <w:r w:rsidRPr="00040774">
        <w:rPr>
          <w:b/>
          <w:bCs/>
          <w:highlight w:val="yellow"/>
        </w:rPr>
        <w:t>HISTORICAL PRICE DATACHART</w:t>
      </w:r>
      <w:r w:rsidRPr="00040774">
        <w:rPr>
          <w:b/>
          <w:bCs/>
        </w:rPr>
        <w:t xml:space="preserve"> </w:t>
      </w:r>
    </w:p>
    <w:p w14:paraId="35EC39E8" w14:textId="77777777" w:rsidR="00040774" w:rsidRDefault="00040774" w:rsidP="00040774">
      <w:pPr>
        <w:pStyle w:val="NoSpacing"/>
        <w:jc w:val="center"/>
        <w:rPr>
          <w:b/>
          <w:bCs/>
        </w:rPr>
      </w:pPr>
    </w:p>
    <w:p w14:paraId="4D5780DA" w14:textId="77777777" w:rsidR="00040774" w:rsidRDefault="00040774" w:rsidP="00040774">
      <w:pPr>
        <w:pStyle w:val="NoSpacing"/>
        <w:jc w:val="center"/>
        <w:rPr>
          <w:b/>
          <w:bCs/>
        </w:rPr>
      </w:pPr>
    </w:p>
    <w:p w14:paraId="0F7D7C76" w14:textId="77777777" w:rsidR="00040774" w:rsidRDefault="00040774" w:rsidP="00040774">
      <w:pPr>
        <w:pStyle w:val="NoSpacing"/>
        <w:jc w:val="center"/>
        <w:rPr>
          <w:b/>
          <w:bCs/>
        </w:rPr>
      </w:pPr>
    </w:p>
    <w:p w14:paraId="2D432EB6" w14:textId="77777777" w:rsidR="00040774" w:rsidRDefault="00040774" w:rsidP="00040774">
      <w:pPr>
        <w:pStyle w:val="NoSpacing"/>
        <w:jc w:val="center"/>
        <w:rPr>
          <w:b/>
          <w:bCs/>
        </w:rPr>
      </w:pPr>
    </w:p>
    <w:p w14:paraId="4C291BF7" w14:textId="77777777" w:rsidR="00040774" w:rsidRDefault="00040774" w:rsidP="00040774">
      <w:pPr>
        <w:pStyle w:val="NoSpacing"/>
        <w:jc w:val="center"/>
        <w:rPr>
          <w:b/>
          <w:bCs/>
        </w:rPr>
      </w:pPr>
    </w:p>
    <w:p w14:paraId="6202AA73" w14:textId="77777777" w:rsidR="00040774" w:rsidRDefault="00040774" w:rsidP="00040774">
      <w:pPr>
        <w:rPr>
          <w:b/>
          <w:bCs/>
        </w:rPr>
      </w:pPr>
    </w:p>
    <w:p w14:paraId="316CF02B" w14:textId="63EFE421" w:rsidR="00040774" w:rsidRDefault="00040774" w:rsidP="00040774">
      <w:pPr>
        <w:rPr>
          <w:sz w:val="40"/>
          <w:szCs w:val="40"/>
        </w:rPr>
      </w:pPr>
      <w:r w:rsidRPr="00040774">
        <w:rPr>
          <w:sz w:val="40"/>
          <w:szCs w:val="40"/>
        </w:rPr>
        <w:t xml:space="preserve">KEY </w:t>
      </w:r>
      <w:proofErr w:type="gramStart"/>
      <w:r w:rsidRPr="00040774">
        <w:rPr>
          <w:sz w:val="40"/>
          <w:szCs w:val="40"/>
        </w:rPr>
        <w:t xml:space="preserve">MATRICS </w:t>
      </w:r>
      <w:r>
        <w:rPr>
          <w:sz w:val="40"/>
          <w:szCs w:val="40"/>
        </w:rPr>
        <w:t>:</w:t>
      </w:r>
      <w:proofErr w:type="gramEnd"/>
      <w:r>
        <w:rPr>
          <w:sz w:val="40"/>
          <w:szCs w:val="40"/>
        </w:rPr>
        <w:t xml:space="preserve"> </w:t>
      </w:r>
    </w:p>
    <w:p w14:paraId="5BAAD800" w14:textId="10192E42" w:rsidR="008A099F" w:rsidRDefault="008A099F" w:rsidP="00040774">
      <w:pPr>
        <w:rPr>
          <w:rFonts w:ascii="Roboto" w:hAnsi="Roboto"/>
          <w:color w:val="444444"/>
          <w:sz w:val="21"/>
          <w:szCs w:val="21"/>
          <w:shd w:val="clear" w:color="auto" w:fill="FFFFFF"/>
        </w:rPr>
      </w:pPr>
      <w:r>
        <w:rPr>
          <w:rFonts w:ascii="Roboto" w:hAnsi="Roboto"/>
          <w:color w:val="444444"/>
          <w:sz w:val="21"/>
          <w:szCs w:val="21"/>
          <w:shd w:val="clear" w:color="auto" w:fill="FFFFFF"/>
        </w:rPr>
        <w:t>Historical dividend payout and yield for Goldman Sachs (GS) since 2001. The current TTM dividend payout for Goldman Sachs (GS) as of April 05, 2024 is </w:t>
      </w:r>
      <w:r>
        <w:rPr>
          <w:rStyle w:val="Strong"/>
          <w:rFonts w:ascii="Roboto" w:hAnsi="Roboto"/>
          <w:color w:val="444444"/>
          <w:sz w:val="21"/>
          <w:szCs w:val="21"/>
          <w:shd w:val="clear" w:color="auto" w:fill="FFFFFF"/>
        </w:rPr>
        <w:t>$11.00</w:t>
      </w:r>
      <w:r>
        <w:rPr>
          <w:rFonts w:ascii="Roboto" w:hAnsi="Roboto"/>
          <w:color w:val="444444"/>
          <w:sz w:val="21"/>
          <w:szCs w:val="21"/>
          <w:shd w:val="clear" w:color="auto" w:fill="FFFFFF"/>
        </w:rPr>
        <w:t>. The current dividend yield for Goldman Sachs as of April 05, 2024 is </w:t>
      </w:r>
      <w:r>
        <w:rPr>
          <w:rStyle w:val="Strong"/>
          <w:rFonts w:ascii="Roboto" w:hAnsi="Roboto"/>
          <w:color w:val="444444"/>
          <w:sz w:val="21"/>
          <w:szCs w:val="21"/>
          <w:shd w:val="clear" w:color="auto" w:fill="FFFFFF"/>
        </w:rPr>
        <w:t>2.70%</w:t>
      </w:r>
      <w:r>
        <w:rPr>
          <w:rFonts w:ascii="Roboto" w:hAnsi="Roboto"/>
          <w:color w:val="444444"/>
          <w:sz w:val="21"/>
          <w:szCs w:val="21"/>
          <w:shd w:val="clear" w:color="auto" w:fill="FFFFFF"/>
        </w:rPr>
        <w:t>.</w:t>
      </w:r>
    </w:p>
    <w:p w14:paraId="4A2205D8" w14:textId="7C7A53E7" w:rsidR="008A099F" w:rsidRDefault="008A099F" w:rsidP="00040774">
      <w:pPr>
        <w:rPr>
          <w:rFonts w:ascii="Roboto" w:hAnsi="Roboto"/>
          <w:color w:val="444444"/>
          <w:sz w:val="21"/>
          <w:szCs w:val="21"/>
          <w:shd w:val="clear" w:color="auto" w:fill="FFFFFF"/>
        </w:rPr>
      </w:pPr>
      <w:r>
        <w:rPr>
          <w:rFonts w:ascii="Roboto" w:hAnsi="Roboto"/>
          <w:color w:val="444444"/>
          <w:sz w:val="21"/>
          <w:szCs w:val="21"/>
          <w:shd w:val="clear" w:color="auto" w:fill="FFFFFF"/>
        </w:rPr>
        <w:t>Current and historical current ratio for Goldman Sachs (GS) from 2010 to 2023. Current ratio can be defined as a liquidity ratio that measures a company's ability to pay short-term obligations. Goldman Sachs current ratio for the three months ending December 31, 2023 was </w:t>
      </w:r>
      <w:r>
        <w:rPr>
          <w:rStyle w:val="Strong"/>
          <w:rFonts w:ascii="Roboto" w:hAnsi="Roboto"/>
          <w:color w:val="444444"/>
          <w:sz w:val="21"/>
          <w:szCs w:val="21"/>
          <w:shd w:val="clear" w:color="auto" w:fill="FFFFFF"/>
        </w:rPr>
        <w:t>0.77</w:t>
      </w:r>
      <w:r>
        <w:rPr>
          <w:rFonts w:ascii="Roboto" w:hAnsi="Roboto"/>
          <w:color w:val="444444"/>
          <w:sz w:val="21"/>
          <w:szCs w:val="21"/>
          <w:shd w:val="clear" w:color="auto" w:fill="FFFFFF"/>
        </w:rPr>
        <w:t>.</w:t>
      </w:r>
    </w:p>
    <w:p w14:paraId="4676F61E" w14:textId="7FBB6D9C" w:rsidR="008A099F" w:rsidRDefault="008A099F" w:rsidP="00040774">
      <w:pPr>
        <w:rPr>
          <w:rFonts w:ascii="Roboto" w:hAnsi="Roboto"/>
          <w:color w:val="444444"/>
          <w:sz w:val="21"/>
          <w:szCs w:val="21"/>
          <w:shd w:val="clear" w:color="auto" w:fill="FFFFFF"/>
        </w:rPr>
      </w:pPr>
      <w:r>
        <w:rPr>
          <w:rFonts w:ascii="Roboto" w:hAnsi="Roboto"/>
          <w:color w:val="444444"/>
          <w:sz w:val="21"/>
          <w:szCs w:val="21"/>
          <w:shd w:val="clear" w:color="auto" w:fill="FFFFFF"/>
        </w:rPr>
        <w:t>Current and historical p/e ratio for Goldman Sachs (GS) from 2010 to 2023. The price to earnings ratio is calculated by taking the latest closing price and dividing it by the most recent earnings per share (EPS) number. The PE ratio is a simple way to assess whether a stock is over or under valued and is the most widely used valuation measure. Goldman Sachs PE ratio as of April 05, 2024 is </w:t>
      </w:r>
      <w:r>
        <w:rPr>
          <w:rStyle w:val="Strong"/>
          <w:rFonts w:ascii="Roboto" w:hAnsi="Roboto"/>
          <w:color w:val="444444"/>
          <w:sz w:val="21"/>
          <w:szCs w:val="21"/>
          <w:shd w:val="clear" w:color="auto" w:fill="FFFFFF"/>
        </w:rPr>
        <w:t>17.88</w:t>
      </w:r>
      <w:r>
        <w:rPr>
          <w:rFonts w:ascii="Roboto" w:hAnsi="Roboto"/>
          <w:color w:val="444444"/>
          <w:sz w:val="21"/>
          <w:szCs w:val="21"/>
          <w:shd w:val="clear" w:color="auto" w:fill="FFFFFF"/>
        </w:rPr>
        <w:t>.</w:t>
      </w:r>
    </w:p>
    <w:p w14:paraId="3289F56A" w14:textId="77777777" w:rsidR="008A099F" w:rsidRPr="008A099F" w:rsidRDefault="008A099F" w:rsidP="008A099F">
      <w:pPr>
        <w:spacing w:after="0" w:line="240" w:lineRule="auto"/>
        <w:rPr>
          <w:rFonts w:ascii="Times New Roman" w:eastAsia="Times New Roman" w:hAnsi="Times New Roman" w:cs="Times New Roman"/>
          <w:kern w:val="0"/>
          <w:sz w:val="24"/>
          <w:szCs w:val="24"/>
          <w:lang w:eastAsia="en-IN"/>
          <w14:ligatures w14:val="none"/>
        </w:rPr>
      </w:pPr>
      <w:r w:rsidRPr="008A099F">
        <w:rPr>
          <w:rFonts w:ascii="Roboto" w:eastAsia="Times New Roman" w:hAnsi="Roboto" w:cs="Times New Roman"/>
          <w:color w:val="444444"/>
          <w:kern w:val="0"/>
          <w:sz w:val="21"/>
          <w:szCs w:val="21"/>
          <w:shd w:val="clear" w:color="auto" w:fill="FFFFFF"/>
          <w:lang w:eastAsia="en-IN"/>
          <w14:ligatures w14:val="none"/>
        </w:rPr>
        <w:t>Goldman Sachs annual/quarterly revenue history and growth rate from 2010 to 2023. Revenue can be defined as the amount of money a company receives from its customers in exchange for the sales of goods or services. Revenue is the top line item on an income statement from which all costs and expenses are subtracted to arrive at net income.</w:t>
      </w:r>
    </w:p>
    <w:p w14:paraId="7198A631" w14:textId="77777777" w:rsidR="008A099F" w:rsidRPr="008A099F" w:rsidRDefault="008A099F" w:rsidP="008A099F">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8A099F">
        <w:rPr>
          <w:rFonts w:ascii="Roboto" w:eastAsia="Times New Roman" w:hAnsi="Roboto" w:cs="Times New Roman"/>
          <w:color w:val="444444"/>
          <w:kern w:val="0"/>
          <w:sz w:val="21"/>
          <w:szCs w:val="21"/>
          <w:lang w:eastAsia="en-IN"/>
          <w14:ligatures w14:val="none"/>
        </w:rPr>
        <w:t>Goldman Sachs revenue for the quarter ending December 31, 2023 was </w:t>
      </w:r>
      <w:r w:rsidRPr="008A099F">
        <w:rPr>
          <w:rFonts w:ascii="Roboto" w:eastAsia="Times New Roman" w:hAnsi="Roboto" w:cs="Times New Roman"/>
          <w:b/>
          <w:bCs/>
          <w:color w:val="444444"/>
          <w:kern w:val="0"/>
          <w:sz w:val="21"/>
          <w:szCs w:val="21"/>
          <w:lang w:eastAsia="en-IN"/>
          <w14:ligatures w14:val="none"/>
        </w:rPr>
        <w:t>$11.318B</w:t>
      </w:r>
      <w:r w:rsidRPr="008A099F">
        <w:rPr>
          <w:rFonts w:ascii="Roboto" w:eastAsia="Times New Roman" w:hAnsi="Roboto" w:cs="Times New Roman"/>
          <w:color w:val="444444"/>
          <w:kern w:val="0"/>
          <w:sz w:val="21"/>
          <w:szCs w:val="21"/>
          <w:lang w:eastAsia="en-IN"/>
          <w14:ligatures w14:val="none"/>
        </w:rPr>
        <w:t>, a </w:t>
      </w:r>
      <w:r w:rsidRPr="008A099F">
        <w:rPr>
          <w:rFonts w:ascii="Roboto" w:eastAsia="Times New Roman" w:hAnsi="Roboto" w:cs="Times New Roman"/>
          <w:b/>
          <w:bCs/>
          <w:color w:val="444444"/>
          <w:kern w:val="0"/>
          <w:sz w:val="21"/>
          <w:szCs w:val="21"/>
          <w:lang w:eastAsia="en-IN"/>
          <w14:ligatures w14:val="none"/>
        </w:rPr>
        <w:t>6.84% increase</w:t>
      </w:r>
      <w:r w:rsidRPr="008A099F">
        <w:rPr>
          <w:rFonts w:ascii="Roboto" w:eastAsia="Times New Roman" w:hAnsi="Roboto" w:cs="Times New Roman"/>
          <w:color w:val="444444"/>
          <w:kern w:val="0"/>
          <w:sz w:val="21"/>
          <w:szCs w:val="21"/>
          <w:lang w:eastAsia="en-IN"/>
          <w14:ligatures w14:val="none"/>
        </w:rPr>
        <w:t> year-over-year.</w:t>
      </w:r>
    </w:p>
    <w:p w14:paraId="082C98F8" w14:textId="77777777" w:rsidR="008A099F" w:rsidRPr="008A099F" w:rsidRDefault="008A099F" w:rsidP="008A099F">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8A099F">
        <w:rPr>
          <w:rFonts w:ascii="Roboto" w:eastAsia="Times New Roman" w:hAnsi="Roboto" w:cs="Times New Roman"/>
          <w:color w:val="444444"/>
          <w:kern w:val="0"/>
          <w:sz w:val="21"/>
          <w:szCs w:val="21"/>
          <w:lang w:eastAsia="en-IN"/>
          <w14:ligatures w14:val="none"/>
        </w:rPr>
        <w:lastRenderedPageBreak/>
        <w:t>Goldman Sachs revenue for the twelve months ending December 31, 2023 was </w:t>
      </w:r>
      <w:r w:rsidRPr="008A099F">
        <w:rPr>
          <w:rFonts w:ascii="Roboto" w:eastAsia="Times New Roman" w:hAnsi="Roboto" w:cs="Times New Roman"/>
          <w:b/>
          <w:bCs/>
          <w:color w:val="444444"/>
          <w:kern w:val="0"/>
          <w:sz w:val="21"/>
          <w:szCs w:val="21"/>
          <w:lang w:eastAsia="en-IN"/>
          <w14:ligatures w14:val="none"/>
        </w:rPr>
        <w:t>$46.254B</w:t>
      </w:r>
      <w:r w:rsidRPr="008A099F">
        <w:rPr>
          <w:rFonts w:ascii="Roboto" w:eastAsia="Times New Roman" w:hAnsi="Roboto" w:cs="Times New Roman"/>
          <w:color w:val="444444"/>
          <w:kern w:val="0"/>
          <w:sz w:val="21"/>
          <w:szCs w:val="21"/>
          <w:lang w:eastAsia="en-IN"/>
          <w14:ligatures w14:val="none"/>
        </w:rPr>
        <w:t>, a </w:t>
      </w:r>
      <w:r w:rsidRPr="008A099F">
        <w:rPr>
          <w:rFonts w:ascii="Roboto" w:eastAsia="Times New Roman" w:hAnsi="Roboto" w:cs="Times New Roman"/>
          <w:b/>
          <w:bCs/>
          <w:color w:val="444444"/>
          <w:kern w:val="0"/>
          <w:sz w:val="21"/>
          <w:szCs w:val="21"/>
          <w:lang w:eastAsia="en-IN"/>
          <w14:ligatures w14:val="none"/>
        </w:rPr>
        <w:t>2.35% decline</w:t>
      </w:r>
      <w:r w:rsidRPr="008A099F">
        <w:rPr>
          <w:rFonts w:ascii="Roboto" w:eastAsia="Times New Roman" w:hAnsi="Roboto" w:cs="Times New Roman"/>
          <w:color w:val="444444"/>
          <w:kern w:val="0"/>
          <w:sz w:val="21"/>
          <w:szCs w:val="21"/>
          <w:lang w:eastAsia="en-IN"/>
          <w14:ligatures w14:val="none"/>
        </w:rPr>
        <w:t> year-over-year.</w:t>
      </w:r>
    </w:p>
    <w:p w14:paraId="31F51C9D" w14:textId="77777777" w:rsidR="008A099F" w:rsidRPr="008A099F" w:rsidRDefault="008A099F" w:rsidP="008A099F">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8A099F">
        <w:rPr>
          <w:rFonts w:ascii="Roboto" w:eastAsia="Times New Roman" w:hAnsi="Roboto" w:cs="Times New Roman"/>
          <w:color w:val="444444"/>
          <w:kern w:val="0"/>
          <w:sz w:val="21"/>
          <w:szCs w:val="21"/>
          <w:lang w:eastAsia="en-IN"/>
          <w14:ligatures w14:val="none"/>
        </w:rPr>
        <w:t>Goldman Sachs annual revenue for 2023 was </w:t>
      </w:r>
      <w:r w:rsidRPr="008A099F">
        <w:rPr>
          <w:rFonts w:ascii="Roboto" w:eastAsia="Times New Roman" w:hAnsi="Roboto" w:cs="Times New Roman"/>
          <w:b/>
          <w:bCs/>
          <w:color w:val="444444"/>
          <w:kern w:val="0"/>
          <w:sz w:val="21"/>
          <w:szCs w:val="21"/>
          <w:lang w:eastAsia="en-IN"/>
          <w14:ligatures w14:val="none"/>
        </w:rPr>
        <w:t>$46.254B</w:t>
      </w:r>
      <w:r w:rsidRPr="008A099F">
        <w:rPr>
          <w:rFonts w:ascii="Roboto" w:eastAsia="Times New Roman" w:hAnsi="Roboto" w:cs="Times New Roman"/>
          <w:color w:val="444444"/>
          <w:kern w:val="0"/>
          <w:sz w:val="21"/>
          <w:szCs w:val="21"/>
          <w:lang w:eastAsia="en-IN"/>
          <w14:ligatures w14:val="none"/>
        </w:rPr>
        <w:t>, a </w:t>
      </w:r>
      <w:r w:rsidRPr="008A099F">
        <w:rPr>
          <w:rFonts w:ascii="Roboto" w:eastAsia="Times New Roman" w:hAnsi="Roboto" w:cs="Times New Roman"/>
          <w:b/>
          <w:bCs/>
          <w:color w:val="444444"/>
          <w:kern w:val="0"/>
          <w:sz w:val="21"/>
          <w:szCs w:val="21"/>
          <w:lang w:eastAsia="en-IN"/>
          <w14:ligatures w14:val="none"/>
        </w:rPr>
        <w:t>2.35% decline</w:t>
      </w:r>
      <w:r w:rsidRPr="008A099F">
        <w:rPr>
          <w:rFonts w:ascii="Roboto" w:eastAsia="Times New Roman" w:hAnsi="Roboto" w:cs="Times New Roman"/>
          <w:color w:val="444444"/>
          <w:kern w:val="0"/>
          <w:sz w:val="21"/>
          <w:szCs w:val="21"/>
          <w:lang w:eastAsia="en-IN"/>
          <w14:ligatures w14:val="none"/>
        </w:rPr>
        <w:t> from 2022.</w:t>
      </w:r>
    </w:p>
    <w:p w14:paraId="2357878E" w14:textId="77777777" w:rsidR="008A099F" w:rsidRPr="008A099F" w:rsidRDefault="008A099F" w:rsidP="008A099F">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8A099F">
        <w:rPr>
          <w:rFonts w:ascii="Roboto" w:eastAsia="Times New Roman" w:hAnsi="Roboto" w:cs="Times New Roman"/>
          <w:color w:val="444444"/>
          <w:kern w:val="0"/>
          <w:sz w:val="21"/>
          <w:szCs w:val="21"/>
          <w:lang w:eastAsia="en-IN"/>
          <w14:ligatures w14:val="none"/>
        </w:rPr>
        <w:t>Goldman Sachs annual revenue for 2022 was </w:t>
      </w:r>
      <w:r w:rsidRPr="008A099F">
        <w:rPr>
          <w:rFonts w:ascii="Roboto" w:eastAsia="Times New Roman" w:hAnsi="Roboto" w:cs="Times New Roman"/>
          <w:b/>
          <w:bCs/>
          <w:color w:val="444444"/>
          <w:kern w:val="0"/>
          <w:sz w:val="21"/>
          <w:szCs w:val="21"/>
          <w:lang w:eastAsia="en-IN"/>
          <w14:ligatures w14:val="none"/>
        </w:rPr>
        <w:t>$47.365B</w:t>
      </w:r>
      <w:r w:rsidRPr="008A099F">
        <w:rPr>
          <w:rFonts w:ascii="Roboto" w:eastAsia="Times New Roman" w:hAnsi="Roboto" w:cs="Times New Roman"/>
          <w:color w:val="444444"/>
          <w:kern w:val="0"/>
          <w:sz w:val="21"/>
          <w:szCs w:val="21"/>
          <w:lang w:eastAsia="en-IN"/>
          <w14:ligatures w14:val="none"/>
        </w:rPr>
        <w:t>, a </w:t>
      </w:r>
      <w:r w:rsidRPr="008A099F">
        <w:rPr>
          <w:rFonts w:ascii="Roboto" w:eastAsia="Times New Roman" w:hAnsi="Roboto" w:cs="Times New Roman"/>
          <w:b/>
          <w:bCs/>
          <w:color w:val="444444"/>
          <w:kern w:val="0"/>
          <w:sz w:val="21"/>
          <w:szCs w:val="21"/>
          <w:lang w:eastAsia="en-IN"/>
          <w14:ligatures w14:val="none"/>
        </w:rPr>
        <w:t>20.18% decline</w:t>
      </w:r>
      <w:r w:rsidRPr="008A099F">
        <w:rPr>
          <w:rFonts w:ascii="Roboto" w:eastAsia="Times New Roman" w:hAnsi="Roboto" w:cs="Times New Roman"/>
          <w:color w:val="444444"/>
          <w:kern w:val="0"/>
          <w:sz w:val="21"/>
          <w:szCs w:val="21"/>
          <w:lang w:eastAsia="en-IN"/>
          <w14:ligatures w14:val="none"/>
        </w:rPr>
        <w:t> from 2021.</w:t>
      </w:r>
    </w:p>
    <w:p w14:paraId="6FF8283A" w14:textId="77777777" w:rsidR="008A099F" w:rsidRDefault="008A099F" w:rsidP="008A099F">
      <w:pPr>
        <w:numPr>
          <w:ilvl w:val="0"/>
          <w:numId w:val="1"/>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8A099F">
        <w:rPr>
          <w:rFonts w:ascii="Roboto" w:eastAsia="Times New Roman" w:hAnsi="Roboto" w:cs="Times New Roman"/>
          <w:color w:val="444444"/>
          <w:kern w:val="0"/>
          <w:sz w:val="21"/>
          <w:szCs w:val="21"/>
          <w:lang w:eastAsia="en-IN"/>
          <w14:ligatures w14:val="none"/>
        </w:rPr>
        <w:t>Goldman Sachs annual revenue for 2021 was </w:t>
      </w:r>
      <w:r w:rsidRPr="008A099F">
        <w:rPr>
          <w:rFonts w:ascii="Roboto" w:eastAsia="Times New Roman" w:hAnsi="Roboto" w:cs="Times New Roman"/>
          <w:b/>
          <w:bCs/>
          <w:color w:val="444444"/>
          <w:kern w:val="0"/>
          <w:sz w:val="21"/>
          <w:szCs w:val="21"/>
          <w:lang w:eastAsia="en-IN"/>
          <w14:ligatures w14:val="none"/>
        </w:rPr>
        <w:t>$59.339B</w:t>
      </w:r>
      <w:r w:rsidRPr="008A099F">
        <w:rPr>
          <w:rFonts w:ascii="Roboto" w:eastAsia="Times New Roman" w:hAnsi="Roboto" w:cs="Times New Roman"/>
          <w:color w:val="444444"/>
          <w:kern w:val="0"/>
          <w:sz w:val="21"/>
          <w:szCs w:val="21"/>
          <w:lang w:eastAsia="en-IN"/>
          <w14:ligatures w14:val="none"/>
        </w:rPr>
        <w:t>, a </w:t>
      </w:r>
      <w:r w:rsidRPr="008A099F">
        <w:rPr>
          <w:rFonts w:ascii="Roboto" w:eastAsia="Times New Roman" w:hAnsi="Roboto" w:cs="Times New Roman"/>
          <w:b/>
          <w:bCs/>
          <w:color w:val="444444"/>
          <w:kern w:val="0"/>
          <w:sz w:val="21"/>
          <w:szCs w:val="21"/>
          <w:lang w:eastAsia="en-IN"/>
          <w14:ligatures w14:val="none"/>
        </w:rPr>
        <w:t>33.17% increase</w:t>
      </w:r>
      <w:r w:rsidRPr="008A099F">
        <w:rPr>
          <w:rFonts w:ascii="Roboto" w:eastAsia="Times New Roman" w:hAnsi="Roboto" w:cs="Times New Roman"/>
          <w:color w:val="444444"/>
          <w:kern w:val="0"/>
          <w:sz w:val="21"/>
          <w:szCs w:val="21"/>
          <w:lang w:eastAsia="en-IN"/>
          <w14:ligatures w14:val="none"/>
        </w:rPr>
        <w:t> from 2020.</w:t>
      </w:r>
    </w:p>
    <w:p w14:paraId="6549B795" w14:textId="12BC3DE7" w:rsidR="001D0D41" w:rsidRPr="008A099F" w:rsidRDefault="001D0D41" w:rsidP="001D0D41">
      <w:pPr>
        <w:pStyle w:val="Heading4"/>
        <w:rPr>
          <w:rFonts w:eastAsia="Times New Roman"/>
          <w:lang w:eastAsia="en-IN"/>
        </w:rPr>
      </w:pPr>
      <w:r>
        <w:rPr>
          <w:rFonts w:eastAsia="Times New Roman"/>
          <w:lang w:eastAsia="en-IN"/>
        </w:rPr>
        <w:t xml:space="preserve">ANNUAL STOCK </w:t>
      </w:r>
      <w:proofErr w:type="gramStart"/>
      <w:r>
        <w:rPr>
          <w:rFonts w:eastAsia="Times New Roman"/>
          <w:lang w:eastAsia="en-IN"/>
        </w:rPr>
        <w:t>PRICE  DATA</w:t>
      </w:r>
      <w:proofErr w:type="gramEnd"/>
      <w:r>
        <w:rPr>
          <w:rFonts w:eastAsia="Times New Roman"/>
          <w:lang w:eastAsia="en-IN"/>
        </w:rPr>
        <w:t xml:space="preserve"> </w:t>
      </w:r>
    </w:p>
    <w:p w14:paraId="202339BA" w14:textId="74FD1193"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PREVIOUS CLOSE</w:t>
      </w:r>
    </w:p>
    <w:p w14:paraId="026A693E"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 xml:space="preserve">The last closing </w:t>
      </w:r>
      <w:proofErr w:type="gramStart"/>
      <w:r w:rsidRPr="001D0D41">
        <w:rPr>
          <w:rFonts w:ascii="Roboto" w:eastAsia="Times New Roman" w:hAnsi="Roboto" w:cs="Times New Roman"/>
          <w:kern w:val="0"/>
          <w:sz w:val="27"/>
          <w:szCs w:val="27"/>
          <w:lang w:eastAsia="en-IN"/>
          <w14:ligatures w14:val="none"/>
        </w:rPr>
        <w:t>price</w:t>
      </w:r>
      <w:proofErr w:type="gramEnd"/>
    </w:p>
    <w:p w14:paraId="47542CBD" w14:textId="77777777" w:rsidR="001D0D41" w:rsidRP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$406.25</w:t>
      </w:r>
    </w:p>
    <w:p w14:paraId="034537DE" w14:textId="77777777"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DAY RANGE</w:t>
      </w:r>
    </w:p>
    <w:p w14:paraId="117CE4AB"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The range between the high and low prices over the past day</w:t>
      </w:r>
    </w:p>
    <w:p w14:paraId="7F5D1D41" w14:textId="77777777" w:rsidR="001D0D41" w:rsidRP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$401.47 - $409.14</w:t>
      </w:r>
    </w:p>
    <w:p w14:paraId="3238531B" w14:textId="77777777"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YEAR RANGE</w:t>
      </w:r>
    </w:p>
    <w:p w14:paraId="35D8FC77"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The range between the high and low prices over the past 52 weeks</w:t>
      </w:r>
    </w:p>
    <w:p w14:paraId="605A29E9" w14:textId="77777777" w:rsidR="001D0D41" w:rsidRP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$289.36 - $419.20</w:t>
      </w:r>
    </w:p>
    <w:p w14:paraId="7E06B0D3" w14:textId="77777777"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MARKET CAP</w:t>
      </w:r>
    </w:p>
    <w:p w14:paraId="61BA7F0B"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A valuation method that multiplies the price of a company's shares by the total number of outstanding shares.</w:t>
      </w:r>
    </w:p>
    <w:p w14:paraId="4AA8B485" w14:textId="77777777" w:rsidR="001D0D41" w:rsidRP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132.85B USD</w:t>
      </w:r>
    </w:p>
    <w:p w14:paraId="45221EE5" w14:textId="77777777"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AVG. VOLUME</w:t>
      </w:r>
    </w:p>
    <w:p w14:paraId="49080318"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The average number of shares traded each day over the past 30 days</w:t>
      </w:r>
    </w:p>
    <w:p w14:paraId="536B89A2" w14:textId="77777777" w:rsidR="001D0D41" w:rsidRP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1.83M</w:t>
      </w:r>
    </w:p>
    <w:p w14:paraId="5F8BE47D" w14:textId="77777777"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P/E RATIO</w:t>
      </w:r>
    </w:p>
    <w:p w14:paraId="14C98B0B"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The ratio of current share price to trailing 12-month EPS that signals if the price is high or low compared to other stocks</w:t>
      </w:r>
    </w:p>
    <w:p w14:paraId="12E7F399" w14:textId="77777777" w:rsidR="001D0D41" w:rsidRP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17.85</w:t>
      </w:r>
    </w:p>
    <w:p w14:paraId="6778FCD0" w14:textId="77777777" w:rsidR="001D0D41" w:rsidRPr="001D0D41" w:rsidRDefault="001D0D41" w:rsidP="001D0D41">
      <w:pPr>
        <w:pStyle w:val="ListParagraph"/>
        <w:numPr>
          <w:ilvl w:val="0"/>
          <w:numId w:val="1"/>
        </w:numPr>
        <w:shd w:val="clear" w:color="auto" w:fill="FFFFFF"/>
        <w:spacing w:after="0" w:line="240" w:lineRule="auto"/>
        <w:ind w:right="120"/>
        <w:rPr>
          <w:rFonts w:ascii="Roboto" w:eastAsia="Times New Roman" w:hAnsi="Roboto" w:cs="Times New Roman"/>
          <w:caps/>
          <w:color w:val="5F6368"/>
          <w:spacing w:val="17"/>
          <w:kern w:val="0"/>
          <w:sz w:val="27"/>
          <w:szCs w:val="27"/>
          <w:lang w:eastAsia="en-IN"/>
          <w14:ligatures w14:val="none"/>
        </w:rPr>
      </w:pPr>
      <w:r w:rsidRPr="001D0D41">
        <w:rPr>
          <w:rFonts w:ascii="Roboto" w:eastAsia="Times New Roman" w:hAnsi="Roboto" w:cs="Times New Roman"/>
          <w:caps/>
          <w:color w:val="5F6368"/>
          <w:spacing w:val="17"/>
          <w:kern w:val="0"/>
          <w:sz w:val="27"/>
          <w:szCs w:val="27"/>
          <w:lang w:eastAsia="en-IN"/>
          <w14:ligatures w14:val="none"/>
        </w:rPr>
        <w:t>DIVIDEND YIELD</w:t>
      </w:r>
    </w:p>
    <w:p w14:paraId="2787954D" w14:textId="77777777" w:rsidR="001D0D41" w:rsidRPr="001D0D41" w:rsidRDefault="001D0D41" w:rsidP="001D0D41">
      <w:pPr>
        <w:pStyle w:val="ListParagraph"/>
        <w:numPr>
          <w:ilvl w:val="0"/>
          <w:numId w:val="1"/>
        </w:numPr>
        <w:shd w:val="clear" w:color="auto" w:fill="FFFFFF"/>
        <w:spacing w:after="0" w:line="240" w:lineRule="auto"/>
        <w:rPr>
          <w:rFonts w:ascii="Roboto" w:eastAsia="Times New Roman" w:hAnsi="Roboto" w:cs="Times New Roman"/>
          <w:kern w:val="0"/>
          <w:sz w:val="27"/>
          <w:szCs w:val="27"/>
          <w:lang w:eastAsia="en-IN"/>
          <w14:ligatures w14:val="none"/>
        </w:rPr>
      </w:pPr>
      <w:r w:rsidRPr="001D0D41">
        <w:rPr>
          <w:rFonts w:ascii="Roboto" w:eastAsia="Times New Roman" w:hAnsi="Roboto" w:cs="Times New Roman"/>
          <w:kern w:val="0"/>
          <w:sz w:val="27"/>
          <w:szCs w:val="27"/>
          <w:lang w:eastAsia="en-IN"/>
          <w14:ligatures w14:val="none"/>
        </w:rPr>
        <w:t>The ratio of annual dividend to current share price that estimates the dividend return of a stock</w:t>
      </w:r>
    </w:p>
    <w:p w14:paraId="1777675E" w14:textId="77777777" w:rsidR="001D0D41" w:rsidRDefault="001D0D41" w:rsidP="001D0D41">
      <w:pPr>
        <w:pStyle w:val="ListParagraph"/>
        <w:numPr>
          <w:ilvl w:val="0"/>
          <w:numId w:val="1"/>
        </w:num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1D0D41">
        <w:rPr>
          <w:rFonts w:ascii="Roboto" w:eastAsia="Times New Roman" w:hAnsi="Roboto" w:cs="Times New Roman"/>
          <w:color w:val="202124"/>
          <w:spacing w:val="4"/>
          <w:kern w:val="0"/>
          <w:sz w:val="27"/>
          <w:szCs w:val="27"/>
          <w:lang w:eastAsia="en-IN"/>
          <w14:ligatures w14:val="none"/>
        </w:rPr>
        <w:t>2.70%</w:t>
      </w:r>
    </w:p>
    <w:p w14:paraId="31C5B646" w14:textId="3346F755" w:rsidR="001D0D41" w:rsidRPr="001D0D41" w:rsidRDefault="001D0D41" w:rsidP="001D0D41">
      <w:pPr>
        <w:rPr>
          <w:lang w:eastAsia="en-IN"/>
        </w:rPr>
      </w:pPr>
      <w:r>
        <w:rPr>
          <w:lang w:eastAsia="en-IN"/>
        </w:rPr>
        <w:t xml:space="preserve">STOCK PRICE CHANGE </w:t>
      </w:r>
      <w:proofErr w:type="gramStart"/>
      <w:r>
        <w:rPr>
          <w:lang w:eastAsia="en-IN"/>
        </w:rPr>
        <w:t>CHART :</w:t>
      </w:r>
      <w:proofErr w:type="gramEnd"/>
      <w:r>
        <w:rPr>
          <w:lang w:eastAsia="en-IN"/>
        </w:rPr>
        <w:t xml:space="preserve"> </w:t>
      </w:r>
    </w:p>
    <w:p w14:paraId="60424FB6" w14:textId="6A7A07C0" w:rsidR="008A099F" w:rsidRDefault="001D0D41" w:rsidP="00040774">
      <w:pPr>
        <w:rPr>
          <w:sz w:val="40"/>
          <w:szCs w:val="40"/>
        </w:rPr>
      </w:pPr>
      <w:r>
        <w:rPr>
          <w:noProof/>
          <w:sz w:val="40"/>
          <w:szCs w:val="40"/>
        </w:rPr>
        <w:drawing>
          <wp:inline distT="0" distB="0" distL="0" distR="0" wp14:anchorId="668849AF" wp14:editId="7BF2CBC4">
            <wp:extent cx="6228462" cy="2387600"/>
            <wp:effectExtent l="0" t="0" r="1270" b="0"/>
            <wp:docPr id="708380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0795" name="Picture 7083807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0472" cy="2388371"/>
                    </a:xfrm>
                    <a:prstGeom prst="rect">
                      <a:avLst/>
                    </a:prstGeom>
                  </pic:spPr>
                </pic:pic>
              </a:graphicData>
            </a:graphic>
          </wp:inline>
        </w:drawing>
      </w:r>
    </w:p>
    <w:p w14:paraId="05FE2EE4" w14:textId="4493317E" w:rsidR="001D0D41" w:rsidRDefault="001D0D41" w:rsidP="00040774">
      <w:pPr>
        <w:rPr>
          <w:sz w:val="40"/>
          <w:szCs w:val="40"/>
        </w:rPr>
      </w:pPr>
      <w:proofErr w:type="gramStart"/>
      <w:r>
        <w:rPr>
          <w:sz w:val="40"/>
          <w:szCs w:val="40"/>
        </w:rPr>
        <w:lastRenderedPageBreak/>
        <w:t>VOLATILITY :</w:t>
      </w:r>
      <w:proofErr w:type="gramEnd"/>
    </w:p>
    <w:p w14:paraId="12A80DF7" w14:textId="77777777" w:rsidR="00DF4775" w:rsidRDefault="00DF4775" w:rsidP="00DF477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Volatility is a statistical measure of the dispersion of returns for a given security or market index. It’s often measured as standard deviation or variance of historical returns over a certain period. The volatility here is measured as the annualized standard deviation between monthly returns from the security over the past year.</w:t>
      </w:r>
    </w:p>
    <w:p w14:paraId="542C75C0" w14:textId="77777777" w:rsidR="00DF4775" w:rsidRDefault="00DF4775" w:rsidP="00DF477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Volatility reflects the uncertainty or risk of a security’s value. Generally speaking, a higher volatility suggests a higher risk, because it implies a wider fluctuation around average price. This means the price of the security can change dramatically in either direction within a short period. Conversely, a lower volatility means that the security's price is </w:t>
      </w:r>
      <w:proofErr w:type="gramStart"/>
      <w:r>
        <w:rPr>
          <w:rFonts w:ascii="Arial" w:hAnsi="Arial" w:cs="Arial"/>
          <w:color w:val="333333"/>
          <w:sz w:val="18"/>
          <w:szCs w:val="18"/>
        </w:rPr>
        <w:t>more steady</w:t>
      </w:r>
      <w:proofErr w:type="gramEnd"/>
      <w:r>
        <w:rPr>
          <w:rFonts w:ascii="Arial" w:hAnsi="Arial" w:cs="Arial"/>
          <w:color w:val="333333"/>
          <w:sz w:val="18"/>
          <w:szCs w:val="18"/>
        </w:rPr>
        <w:t>, which suggests a lower risk.</w:t>
      </w:r>
    </w:p>
    <w:p w14:paraId="48AE295B" w14:textId="77777777" w:rsidR="00DF4775" w:rsidRDefault="00DF4775" w:rsidP="00DF477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Another measurement of relative volatility is </w:t>
      </w:r>
      <w:hyperlink r:id="rId8" w:history="1">
        <w:r>
          <w:rPr>
            <w:rStyle w:val="Hyperlink"/>
            <w:rFonts w:ascii="Arial" w:eastAsiaTheme="majorEastAsia" w:hAnsi="Arial" w:cs="Arial"/>
            <w:color w:val="337AB7"/>
            <w:sz w:val="18"/>
            <w:szCs w:val="18"/>
          </w:rPr>
          <w:t>Beta</w:t>
        </w:r>
      </w:hyperlink>
      <w:r>
        <w:rPr>
          <w:rFonts w:ascii="Arial" w:hAnsi="Arial" w:cs="Arial"/>
          <w:color w:val="333333"/>
          <w:sz w:val="18"/>
          <w:szCs w:val="18"/>
        </w:rPr>
        <w:t>. Beta is a measure of systematic risk of a security or a portfolio in comparison to the market as a whole. Beta is usually compared to 1. A beta of greater than 1 indicates that the security's price will be more volatile than the market.</w:t>
      </w:r>
    </w:p>
    <w:p w14:paraId="3CE6C3D0" w14:textId="388B739B" w:rsidR="001D0D41" w:rsidRDefault="00DF4775" w:rsidP="00040774">
      <w:pPr>
        <w:rPr>
          <w:sz w:val="40"/>
          <w:szCs w:val="40"/>
        </w:rPr>
      </w:pPr>
      <w:r>
        <w:rPr>
          <w:noProof/>
          <w:sz w:val="40"/>
          <w:szCs w:val="40"/>
        </w:rPr>
        <w:drawing>
          <wp:inline distT="0" distB="0" distL="0" distR="0" wp14:anchorId="58DEDC58" wp14:editId="6B8CC11D">
            <wp:extent cx="5731510" cy="1867535"/>
            <wp:effectExtent l="0" t="0" r="2540" b="0"/>
            <wp:docPr id="199295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5712" name="Picture 1992957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67535"/>
                    </a:xfrm>
                    <a:prstGeom prst="rect">
                      <a:avLst/>
                    </a:prstGeom>
                  </pic:spPr>
                </pic:pic>
              </a:graphicData>
            </a:graphic>
          </wp:inline>
        </w:drawing>
      </w:r>
    </w:p>
    <w:p w14:paraId="19B5873D" w14:textId="77777777" w:rsidR="00DF4775" w:rsidRDefault="00DF4775" w:rsidP="00DF4775">
      <w:pPr>
        <w:pStyle w:val="NormalWeb"/>
        <w:shd w:val="clear" w:color="auto" w:fill="FFFFFF"/>
        <w:spacing w:before="0" w:beforeAutospacing="0" w:after="0" w:afterAutospacing="0"/>
        <w:rPr>
          <w:rFonts w:ascii="Roboto" w:hAnsi="Roboto"/>
          <w:color w:val="111111"/>
        </w:rPr>
      </w:pPr>
      <w:r>
        <w:rPr>
          <w:rFonts w:ascii="Roboto" w:hAnsi="Roboto"/>
          <w:color w:val="111111"/>
        </w:rPr>
        <w:t>J.P. Morgan’s stock volatility is an interesting topic. Let’s delve into it!</w:t>
      </w:r>
    </w:p>
    <w:p w14:paraId="6411E867" w14:textId="77777777" w:rsidR="00DF4775" w:rsidRDefault="00DF4775" w:rsidP="00DF4775">
      <w:pPr>
        <w:pStyle w:val="NormalWeb"/>
        <w:shd w:val="clear" w:color="auto" w:fill="FFFFFF"/>
        <w:spacing w:before="0" w:beforeAutospacing="0" w:after="0" w:afterAutospacing="0"/>
        <w:rPr>
          <w:rFonts w:ascii="Roboto" w:hAnsi="Roboto"/>
          <w:color w:val="111111"/>
        </w:rPr>
      </w:pPr>
      <w:r>
        <w:rPr>
          <w:rFonts w:ascii="Roboto" w:hAnsi="Roboto"/>
          <w:color w:val="111111"/>
        </w:rPr>
        <w:t>Over the last </w:t>
      </w:r>
      <w:r>
        <w:rPr>
          <w:rStyle w:val="Strong"/>
          <w:rFonts w:ascii="Roboto" w:eastAsiaTheme="majorEastAsia" w:hAnsi="Roboto"/>
          <w:color w:val="111111"/>
        </w:rPr>
        <w:t>3 months</w:t>
      </w:r>
      <w:r>
        <w:rPr>
          <w:rFonts w:ascii="Roboto" w:hAnsi="Roboto"/>
          <w:color w:val="111111"/>
        </w:rPr>
        <w:t>, J.P. Morgan Chase has exhibited remarkable stability. </w:t>
      </w:r>
      <w:hyperlink r:id="rId10" w:tgtFrame="_blank" w:history="1">
        <w:r>
          <w:rPr>
            <w:rStyle w:val="Hyperlink"/>
            <w:rFonts w:ascii="Roboto" w:hAnsi="Roboto"/>
          </w:rPr>
          <w:t>Its </w:t>
        </w:r>
        <w:r>
          <w:rPr>
            <w:rStyle w:val="Strong"/>
            <w:rFonts w:ascii="Roboto" w:eastAsiaTheme="majorEastAsia" w:hAnsi="Roboto"/>
            <w:color w:val="0000FF"/>
            <w:u w:val="single"/>
          </w:rPr>
          <w:t>Efficiency (Sharpe) Ratio</w:t>
        </w:r>
        <w:r>
          <w:rPr>
            <w:rStyle w:val="Hyperlink"/>
            <w:rFonts w:ascii="Roboto" w:hAnsi="Roboto"/>
          </w:rPr>
          <w:t> stands at </w:t>
        </w:r>
        <w:r>
          <w:rPr>
            <w:rStyle w:val="Strong"/>
            <w:rFonts w:ascii="Roboto" w:eastAsiaTheme="majorEastAsia" w:hAnsi="Roboto"/>
            <w:color w:val="0000FF"/>
            <w:u w:val="single"/>
          </w:rPr>
          <w:t>0.64</w:t>
        </w:r>
        <w:r>
          <w:rPr>
            <w:rStyle w:val="Hyperlink"/>
            <w:rFonts w:ascii="Roboto" w:hAnsi="Roboto"/>
          </w:rPr>
          <w:t>, indicating that the entity achieved a </w:t>
        </w:r>
        <w:r>
          <w:rPr>
            <w:rStyle w:val="Strong"/>
            <w:rFonts w:ascii="Roboto" w:eastAsiaTheme="majorEastAsia" w:hAnsi="Roboto"/>
            <w:color w:val="0000FF"/>
            <w:u w:val="single"/>
          </w:rPr>
          <w:t>0.64% return per unit of volatility</w:t>
        </w:r>
        <w:r>
          <w:rPr>
            <w:rStyle w:val="Hyperlink"/>
            <w:rFonts w:ascii="Roboto" w:hAnsi="Roboto"/>
          </w:rPr>
          <w:t> during this period</w:t>
        </w:r>
      </w:hyperlink>
      <w:hyperlink r:id="rId11" w:tgtFrame="_blank" w:history="1">
        <w:r>
          <w:rPr>
            <w:rStyle w:val="Hyperlink"/>
            <w:rFonts w:ascii="Roboto" w:hAnsi="Roboto"/>
            <w:vertAlign w:val="superscript"/>
          </w:rPr>
          <w:t>1</w:t>
        </w:r>
      </w:hyperlink>
      <w:r>
        <w:rPr>
          <w:rFonts w:ascii="Roboto" w:hAnsi="Roboto"/>
          <w:color w:val="111111"/>
        </w:rPr>
        <w:t>. In other words, despite market fluctuations, J.P. Morgan maintained a steady performance.</w:t>
      </w:r>
    </w:p>
    <w:p w14:paraId="1E0DAEEE" w14:textId="77777777" w:rsidR="00DF4775" w:rsidRDefault="00DF4775" w:rsidP="00DF4775">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For investors, understanding volatility is crucial. It’s like navigating a roller coaster ride: you want a thrilling experience, but not too wild! </w:t>
      </w:r>
      <w:r>
        <w:rPr>
          <w:rFonts w:ascii="Segoe UI Emoji" w:hAnsi="Segoe UI Emoji" w:cs="Segoe UI Emoji"/>
          <w:color w:val="111111"/>
        </w:rPr>
        <w:t>🎢</w:t>
      </w:r>
    </w:p>
    <w:p w14:paraId="0DFCAF70" w14:textId="77777777" w:rsidR="00DF4775" w:rsidRDefault="00DF4775" w:rsidP="00DF4775">
      <w:pPr>
        <w:pStyle w:val="NormalWeb"/>
        <w:shd w:val="clear" w:color="auto" w:fill="FFFFFF"/>
        <w:spacing w:before="180" w:beforeAutospacing="0" w:after="0" w:afterAutospacing="0"/>
        <w:rPr>
          <w:rFonts w:ascii="Roboto" w:hAnsi="Roboto"/>
          <w:color w:val="111111"/>
        </w:rPr>
      </w:pPr>
      <w:r>
        <w:rPr>
          <w:rFonts w:ascii="Roboto" w:hAnsi="Roboto"/>
          <w:color w:val="111111"/>
        </w:rPr>
        <w:t>Remember, investing involves risks, and volatility is an inherent part of the financial world. So, whether you’re a seasoned investor or just dipping your toes, keep an eye on those market swings! </w:t>
      </w:r>
    </w:p>
    <w:p w14:paraId="42FBA1A1" w14:textId="692C78B0" w:rsidR="00DF4775" w:rsidRDefault="00DF4775" w:rsidP="00040774">
      <w:pPr>
        <w:rPr>
          <w:sz w:val="40"/>
          <w:szCs w:val="40"/>
        </w:rPr>
      </w:pPr>
    </w:p>
    <w:p w14:paraId="27EC182F" w14:textId="511BA4E0" w:rsidR="00DF4775" w:rsidRDefault="00DF4775" w:rsidP="00040774">
      <w:pPr>
        <w:rPr>
          <w:sz w:val="40"/>
          <w:szCs w:val="40"/>
        </w:rPr>
      </w:pPr>
      <w:r>
        <w:rPr>
          <w:sz w:val="40"/>
          <w:szCs w:val="40"/>
        </w:rPr>
        <w:lastRenderedPageBreak/>
        <w:t xml:space="preserve">AVARAGE TRADE </w:t>
      </w:r>
      <w:proofErr w:type="gramStart"/>
      <w:r>
        <w:rPr>
          <w:sz w:val="40"/>
          <w:szCs w:val="40"/>
        </w:rPr>
        <w:t>VOLUME :</w:t>
      </w:r>
      <w:proofErr w:type="gramEnd"/>
      <w:r>
        <w:rPr>
          <w:sz w:val="40"/>
          <w:szCs w:val="40"/>
        </w:rPr>
        <w:t xml:space="preserve"> </w:t>
      </w:r>
      <w:r w:rsidR="00960DFD">
        <w:rPr>
          <w:noProof/>
          <w:sz w:val="40"/>
          <w:szCs w:val="40"/>
        </w:rPr>
        <w:drawing>
          <wp:inline distT="0" distB="0" distL="0" distR="0" wp14:anchorId="2C90F9E5" wp14:editId="2D281067">
            <wp:extent cx="5731510" cy="2046605"/>
            <wp:effectExtent l="0" t="0" r="2540" b="0"/>
            <wp:docPr id="71724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140" name="Picture 71724140"/>
                    <pic:cNvPicPr/>
                  </pic:nvPicPr>
                  <pic:blipFill>
                    <a:blip r:embed="rId12">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14:paraId="3E93DC20" w14:textId="477E83EC"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 xml:space="preserve"> </w:t>
      </w:r>
    </w:p>
    <w:p w14:paraId="7CAC295E" w14:textId="1BA582A1"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trade volume for </w:t>
      </w:r>
      <w:hyperlink r:id="rId13"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1.398M</w:t>
      </w:r>
      <w:r w:rsidRPr="00960DFD">
        <w:rPr>
          <w:rFonts w:ascii="Segoe UI" w:eastAsia="Times New Roman" w:hAnsi="Segoe UI" w:cs="Segoe UI"/>
          <w:color w:val="212529"/>
          <w:kern w:val="0"/>
          <w:sz w:val="24"/>
          <w:szCs w:val="24"/>
          <w:lang w:eastAsia="en-IN"/>
          <w14:ligatures w14:val="none"/>
        </w:rPr>
        <w:t> as of 4/5/2024.</w:t>
      </w:r>
      <w:r w:rsidRPr="00960DFD">
        <w:rPr>
          <w:rFonts w:ascii="Segoe UI" w:eastAsia="Times New Roman" w:hAnsi="Segoe UI" w:cs="Segoe UI"/>
          <w:color w:val="212529"/>
          <w:kern w:val="0"/>
          <w:sz w:val="24"/>
          <w:szCs w:val="24"/>
          <w:lang w:eastAsia="en-IN"/>
          <w14:ligatures w14:val="none"/>
        </w:rPr>
        <w:t xml:space="preserve"> </w:t>
      </w:r>
    </w:p>
    <w:p w14:paraId="0C9E0958" w14:textId="4A50DFC6"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trading volume for </w:t>
      </w:r>
      <w:hyperlink r:id="rId14"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1.398M</w:t>
      </w:r>
      <w:r w:rsidRPr="00960DFD">
        <w:rPr>
          <w:rFonts w:ascii="Segoe UI" w:eastAsia="Times New Roman" w:hAnsi="Segoe UI" w:cs="Segoe UI"/>
          <w:color w:val="212529"/>
          <w:kern w:val="0"/>
          <w:sz w:val="24"/>
          <w:szCs w:val="24"/>
          <w:lang w:eastAsia="en-IN"/>
          <w14:ligatures w14:val="none"/>
        </w:rPr>
        <w:t>.</w:t>
      </w:r>
    </w:p>
    <w:p w14:paraId="25D92A8B"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TTM average trading volume for </w:t>
      </w:r>
      <w:hyperlink r:id="rId15"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2.167M</w:t>
      </w:r>
      <w:r w:rsidRPr="00960DFD">
        <w:rPr>
          <w:rFonts w:ascii="Segoe UI" w:eastAsia="Times New Roman" w:hAnsi="Segoe UI" w:cs="Segoe UI"/>
          <w:color w:val="212529"/>
          <w:kern w:val="0"/>
          <w:sz w:val="24"/>
          <w:szCs w:val="24"/>
          <w:lang w:eastAsia="en-IN"/>
          <w14:ligatures w14:val="none"/>
        </w:rPr>
        <w:t>.</w:t>
      </w:r>
    </w:p>
    <w:p w14:paraId="56F30D52"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 xml:space="preserve">The </w:t>
      </w:r>
      <w:proofErr w:type="gramStart"/>
      <w:r w:rsidRPr="00960DFD">
        <w:rPr>
          <w:rFonts w:ascii="Segoe UI" w:eastAsia="Times New Roman" w:hAnsi="Segoe UI" w:cs="Segoe UI"/>
          <w:color w:val="212529"/>
          <w:kern w:val="0"/>
          <w:sz w:val="24"/>
          <w:szCs w:val="24"/>
          <w:lang w:eastAsia="en-IN"/>
          <w14:ligatures w14:val="none"/>
        </w:rPr>
        <w:t>3 year</w:t>
      </w:r>
      <w:proofErr w:type="gramEnd"/>
      <w:r w:rsidRPr="00960DFD">
        <w:rPr>
          <w:rFonts w:ascii="Segoe UI" w:eastAsia="Times New Roman" w:hAnsi="Segoe UI" w:cs="Segoe UI"/>
          <w:color w:val="212529"/>
          <w:kern w:val="0"/>
          <w:sz w:val="24"/>
          <w:szCs w:val="24"/>
          <w:lang w:eastAsia="en-IN"/>
          <w14:ligatures w14:val="none"/>
        </w:rPr>
        <w:t xml:space="preserve"> average trading volume for </w:t>
      </w:r>
      <w:hyperlink r:id="rId16"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2.263M</w:t>
      </w:r>
      <w:r w:rsidRPr="00960DFD">
        <w:rPr>
          <w:rFonts w:ascii="Segoe UI" w:eastAsia="Times New Roman" w:hAnsi="Segoe UI" w:cs="Segoe UI"/>
          <w:color w:val="212529"/>
          <w:kern w:val="0"/>
          <w:sz w:val="24"/>
          <w:szCs w:val="24"/>
          <w:lang w:eastAsia="en-IN"/>
          <w14:ligatures w14:val="none"/>
        </w:rPr>
        <w:t>.</w:t>
      </w:r>
    </w:p>
    <w:p w14:paraId="16BBC01A"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 xml:space="preserve">The </w:t>
      </w:r>
      <w:proofErr w:type="gramStart"/>
      <w:r w:rsidRPr="00960DFD">
        <w:rPr>
          <w:rFonts w:ascii="Segoe UI" w:eastAsia="Times New Roman" w:hAnsi="Segoe UI" w:cs="Segoe UI"/>
          <w:color w:val="212529"/>
          <w:kern w:val="0"/>
          <w:sz w:val="24"/>
          <w:szCs w:val="24"/>
          <w:lang w:eastAsia="en-IN"/>
          <w14:ligatures w14:val="none"/>
        </w:rPr>
        <w:t>5 year</w:t>
      </w:r>
      <w:proofErr w:type="gramEnd"/>
      <w:r w:rsidRPr="00960DFD">
        <w:rPr>
          <w:rFonts w:ascii="Segoe UI" w:eastAsia="Times New Roman" w:hAnsi="Segoe UI" w:cs="Segoe UI"/>
          <w:color w:val="212529"/>
          <w:kern w:val="0"/>
          <w:sz w:val="24"/>
          <w:szCs w:val="24"/>
          <w:lang w:eastAsia="en-IN"/>
          <w14:ligatures w14:val="none"/>
        </w:rPr>
        <w:t xml:space="preserve"> average trading volume for </w:t>
      </w:r>
      <w:hyperlink r:id="rId17"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2.432M</w:t>
      </w:r>
      <w:r w:rsidRPr="00960DFD">
        <w:rPr>
          <w:rFonts w:ascii="Segoe UI" w:eastAsia="Times New Roman" w:hAnsi="Segoe UI" w:cs="Segoe UI"/>
          <w:color w:val="212529"/>
          <w:kern w:val="0"/>
          <w:sz w:val="24"/>
          <w:szCs w:val="24"/>
          <w:lang w:eastAsia="en-IN"/>
          <w14:ligatures w14:val="none"/>
        </w:rPr>
        <w:t>.</w:t>
      </w:r>
    </w:p>
    <w:p w14:paraId="20639FB5"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 xml:space="preserve">The </w:t>
      </w:r>
      <w:proofErr w:type="gramStart"/>
      <w:r w:rsidRPr="00960DFD">
        <w:rPr>
          <w:rFonts w:ascii="Segoe UI" w:eastAsia="Times New Roman" w:hAnsi="Segoe UI" w:cs="Segoe UI"/>
          <w:color w:val="212529"/>
          <w:kern w:val="0"/>
          <w:sz w:val="24"/>
          <w:szCs w:val="24"/>
          <w:lang w:eastAsia="en-IN"/>
          <w14:ligatures w14:val="none"/>
        </w:rPr>
        <w:t>10 year</w:t>
      </w:r>
      <w:proofErr w:type="gramEnd"/>
      <w:r w:rsidRPr="00960DFD">
        <w:rPr>
          <w:rFonts w:ascii="Segoe UI" w:eastAsia="Times New Roman" w:hAnsi="Segoe UI" w:cs="Segoe UI"/>
          <w:color w:val="212529"/>
          <w:kern w:val="0"/>
          <w:sz w:val="24"/>
          <w:szCs w:val="24"/>
          <w:lang w:eastAsia="en-IN"/>
          <w14:ligatures w14:val="none"/>
        </w:rPr>
        <w:t xml:space="preserve"> average trading volume for </w:t>
      </w:r>
      <w:hyperlink r:id="rId18"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2.542M</w:t>
      </w:r>
      <w:r w:rsidRPr="00960DFD">
        <w:rPr>
          <w:rFonts w:ascii="Segoe UI" w:eastAsia="Times New Roman" w:hAnsi="Segoe UI" w:cs="Segoe UI"/>
          <w:color w:val="212529"/>
          <w:kern w:val="0"/>
          <w:sz w:val="24"/>
          <w:szCs w:val="24"/>
          <w:lang w:eastAsia="en-IN"/>
          <w14:ligatures w14:val="none"/>
        </w:rPr>
        <w:t>.</w:t>
      </w:r>
    </w:p>
    <w:p w14:paraId="799B21A6" w14:textId="248D946B"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 xml:space="preserve">The </w:t>
      </w:r>
      <w:proofErr w:type="gramStart"/>
      <w:r w:rsidRPr="00960DFD">
        <w:rPr>
          <w:rFonts w:ascii="Segoe UI" w:eastAsia="Times New Roman" w:hAnsi="Segoe UI" w:cs="Segoe UI"/>
          <w:color w:val="212529"/>
          <w:kern w:val="0"/>
          <w:sz w:val="24"/>
          <w:szCs w:val="24"/>
          <w:lang w:eastAsia="en-IN"/>
          <w14:ligatures w14:val="none"/>
        </w:rPr>
        <w:t>15 year</w:t>
      </w:r>
      <w:proofErr w:type="gramEnd"/>
      <w:r w:rsidRPr="00960DFD">
        <w:rPr>
          <w:rFonts w:ascii="Segoe UI" w:eastAsia="Times New Roman" w:hAnsi="Segoe UI" w:cs="Segoe UI"/>
          <w:color w:val="212529"/>
          <w:kern w:val="0"/>
          <w:sz w:val="24"/>
          <w:szCs w:val="24"/>
          <w:lang w:eastAsia="en-IN"/>
          <w14:ligatures w14:val="none"/>
        </w:rPr>
        <w:t xml:space="preserve"> average trading volume for </w:t>
      </w:r>
      <w:hyperlink r:id="rId19"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3.317M</w:t>
      </w:r>
      <w:r w:rsidRPr="00960DFD">
        <w:rPr>
          <w:rFonts w:ascii="Segoe UI" w:eastAsia="Times New Roman" w:hAnsi="Segoe UI" w:cs="Segoe UI"/>
          <w:color w:val="212529"/>
          <w:kern w:val="0"/>
          <w:sz w:val="24"/>
          <w:szCs w:val="24"/>
          <w:lang w:eastAsia="en-IN"/>
          <w14:ligatures w14:val="none"/>
        </w:rPr>
        <w:t>.</w:t>
      </w:r>
    </w:p>
    <w:p w14:paraId="4F66D3EA"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 xml:space="preserve">The </w:t>
      </w:r>
      <w:proofErr w:type="gramStart"/>
      <w:r w:rsidRPr="00960DFD">
        <w:rPr>
          <w:rFonts w:ascii="Segoe UI" w:eastAsia="Times New Roman" w:hAnsi="Segoe UI" w:cs="Segoe UI"/>
          <w:color w:val="212529"/>
          <w:kern w:val="0"/>
          <w:sz w:val="24"/>
          <w:szCs w:val="24"/>
          <w:lang w:eastAsia="en-IN"/>
          <w14:ligatures w14:val="none"/>
        </w:rPr>
        <w:t>20 year</w:t>
      </w:r>
      <w:proofErr w:type="gramEnd"/>
      <w:r w:rsidRPr="00960DFD">
        <w:rPr>
          <w:rFonts w:ascii="Segoe UI" w:eastAsia="Times New Roman" w:hAnsi="Segoe UI" w:cs="Segoe UI"/>
          <w:color w:val="212529"/>
          <w:kern w:val="0"/>
          <w:sz w:val="24"/>
          <w:szCs w:val="24"/>
          <w:lang w:eastAsia="en-IN"/>
          <w14:ligatures w14:val="none"/>
        </w:rPr>
        <w:t xml:space="preserve"> average trading volume for </w:t>
      </w:r>
      <w:hyperlink r:id="rId20"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stock is </w:t>
      </w:r>
      <w:r w:rsidRPr="00960DFD">
        <w:rPr>
          <w:rFonts w:ascii="Segoe UI" w:eastAsia="Times New Roman" w:hAnsi="Segoe UI" w:cs="Segoe UI"/>
          <w:b/>
          <w:bCs/>
          <w:color w:val="212529"/>
          <w:kern w:val="0"/>
          <w:sz w:val="24"/>
          <w:szCs w:val="24"/>
          <w:lang w:eastAsia="en-IN"/>
          <w14:ligatures w14:val="none"/>
        </w:rPr>
        <w:t>3.827M</w:t>
      </w:r>
      <w:r w:rsidRPr="00960DFD">
        <w:rPr>
          <w:rFonts w:ascii="Segoe UI" w:eastAsia="Times New Roman" w:hAnsi="Segoe UI" w:cs="Segoe UI"/>
          <w:color w:val="212529"/>
          <w:kern w:val="0"/>
          <w:sz w:val="24"/>
          <w:szCs w:val="24"/>
          <w:lang w:eastAsia="en-IN"/>
          <w14:ligatures w14:val="none"/>
        </w:rPr>
        <w:t>.</w:t>
      </w:r>
    </w:p>
    <w:p w14:paraId="49ED5FCF"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trade volume for </w:t>
      </w:r>
      <w:hyperlink r:id="rId21"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is </w:t>
      </w:r>
      <w:r w:rsidRPr="00960DFD">
        <w:rPr>
          <w:rFonts w:ascii="Segoe UI" w:eastAsia="Times New Roman" w:hAnsi="Segoe UI" w:cs="Segoe UI"/>
          <w:b/>
          <w:bCs/>
          <w:color w:val="212529"/>
          <w:kern w:val="0"/>
          <w:sz w:val="24"/>
          <w:szCs w:val="24"/>
          <w:lang w:eastAsia="en-IN"/>
          <w14:ligatures w14:val="none"/>
        </w:rPr>
        <w:t>-35.48%</w:t>
      </w:r>
      <w:r w:rsidRPr="00960DFD">
        <w:rPr>
          <w:rFonts w:ascii="Segoe UI" w:eastAsia="Times New Roman" w:hAnsi="Segoe UI" w:cs="Segoe UI"/>
          <w:color w:val="212529"/>
          <w:kern w:val="0"/>
          <w:sz w:val="24"/>
          <w:szCs w:val="24"/>
          <w:lang w:eastAsia="en-IN"/>
          <w14:ligatures w14:val="none"/>
        </w:rPr>
        <w:t> vs the TTM average.</w:t>
      </w:r>
    </w:p>
    <w:p w14:paraId="2A8F14CE"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trade volume for </w:t>
      </w:r>
      <w:hyperlink r:id="rId22"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is </w:t>
      </w:r>
      <w:r w:rsidRPr="00960DFD">
        <w:rPr>
          <w:rFonts w:ascii="Segoe UI" w:eastAsia="Times New Roman" w:hAnsi="Segoe UI" w:cs="Segoe UI"/>
          <w:b/>
          <w:bCs/>
          <w:color w:val="212529"/>
          <w:kern w:val="0"/>
          <w:sz w:val="24"/>
          <w:szCs w:val="24"/>
          <w:lang w:eastAsia="en-IN"/>
          <w14:ligatures w14:val="none"/>
        </w:rPr>
        <w:t>-38.23%</w:t>
      </w:r>
      <w:r w:rsidRPr="00960DFD">
        <w:rPr>
          <w:rFonts w:ascii="Segoe UI" w:eastAsia="Times New Roman" w:hAnsi="Segoe UI" w:cs="Segoe UI"/>
          <w:color w:val="212529"/>
          <w:kern w:val="0"/>
          <w:sz w:val="24"/>
          <w:szCs w:val="24"/>
          <w:lang w:eastAsia="en-IN"/>
          <w14:ligatures w14:val="none"/>
        </w:rPr>
        <w:t xml:space="preserve"> vs the </w:t>
      </w:r>
      <w:proofErr w:type="gramStart"/>
      <w:r w:rsidRPr="00960DFD">
        <w:rPr>
          <w:rFonts w:ascii="Segoe UI" w:eastAsia="Times New Roman" w:hAnsi="Segoe UI" w:cs="Segoe UI"/>
          <w:color w:val="212529"/>
          <w:kern w:val="0"/>
          <w:sz w:val="24"/>
          <w:szCs w:val="24"/>
          <w:lang w:eastAsia="en-IN"/>
          <w14:ligatures w14:val="none"/>
        </w:rPr>
        <w:t>3 year</w:t>
      </w:r>
      <w:proofErr w:type="gramEnd"/>
      <w:r w:rsidRPr="00960DFD">
        <w:rPr>
          <w:rFonts w:ascii="Segoe UI" w:eastAsia="Times New Roman" w:hAnsi="Segoe UI" w:cs="Segoe UI"/>
          <w:color w:val="212529"/>
          <w:kern w:val="0"/>
          <w:sz w:val="24"/>
          <w:szCs w:val="24"/>
          <w:lang w:eastAsia="en-IN"/>
          <w14:ligatures w14:val="none"/>
        </w:rPr>
        <w:t xml:space="preserve"> average.</w:t>
      </w:r>
    </w:p>
    <w:p w14:paraId="6B687913"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trade volume for </w:t>
      </w:r>
      <w:hyperlink r:id="rId23"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is </w:t>
      </w:r>
      <w:r w:rsidRPr="00960DFD">
        <w:rPr>
          <w:rFonts w:ascii="Segoe UI" w:eastAsia="Times New Roman" w:hAnsi="Segoe UI" w:cs="Segoe UI"/>
          <w:b/>
          <w:bCs/>
          <w:color w:val="212529"/>
          <w:kern w:val="0"/>
          <w:sz w:val="24"/>
          <w:szCs w:val="24"/>
          <w:lang w:eastAsia="en-IN"/>
          <w14:ligatures w14:val="none"/>
        </w:rPr>
        <w:t>-42.52%</w:t>
      </w:r>
      <w:r w:rsidRPr="00960DFD">
        <w:rPr>
          <w:rFonts w:ascii="Segoe UI" w:eastAsia="Times New Roman" w:hAnsi="Segoe UI" w:cs="Segoe UI"/>
          <w:color w:val="212529"/>
          <w:kern w:val="0"/>
          <w:sz w:val="24"/>
          <w:szCs w:val="24"/>
          <w:lang w:eastAsia="en-IN"/>
          <w14:ligatures w14:val="none"/>
        </w:rPr>
        <w:t xml:space="preserve"> vs the </w:t>
      </w:r>
      <w:proofErr w:type="gramStart"/>
      <w:r w:rsidRPr="00960DFD">
        <w:rPr>
          <w:rFonts w:ascii="Segoe UI" w:eastAsia="Times New Roman" w:hAnsi="Segoe UI" w:cs="Segoe UI"/>
          <w:color w:val="212529"/>
          <w:kern w:val="0"/>
          <w:sz w:val="24"/>
          <w:szCs w:val="24"/>
          <w:lang w:eastAsia="en-IN"/>
          <w14:ligatures w14:val="none"/>
        </w:rPr>
        <w:t>5 year</w:t>
      </w:r>
      <w:proofErr w:type="gramEnd"/>
      <w:r w:rsidRPr="00960DFD">
        <w:rPr>
          <w:rFonts w:ascii="Segoe UI" w:eastAsia="Times New Roman" w:hAnsi="Segoe UI" w:cs="Segoe UI"/>
          <w:color w:val="212529"/>
          <w:kern w:val="0"/>
          <w:sz w:val="24"/>
          <w:szCs w:val="24"/>
          <w:lang w:eastAsia="en-IN"/>
          <w14:ligatures w14:val="none"/>
        </w:rPr>
        <w:t xml:space="preserve"> average.</w:t>
      </w:r>
    </w:p>
    <w:p w14:paraId="05708A10"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trade volume for </w:t>
      </w:r>
      <w:hyperlink r:id="rId24"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is </w:t>
      </w:r>
      <w:r w:rsidRPr="00960DFD">
        <w:rPr>
          <w:rFonts w:ascii="Segoe UI" w:eastAsia="Times New Roman" w:hAnsi="Segoe UI" w:cs="Segoe UI"/>
          <w:b/>
          <w:bCs/>
          <w:color w:val="212529"/>
          <w:kern w:val="0"/>
          <w:sz w:val="24"/>
          <w:szCs w:val="24"/>
          <w:lang w:eastAsia="en-IN"/>
          <w14:ligatures w14:val="none"/>
        </w:rPr>
        <w:t>-45.01%</w:t>
      </w:r>
      <w:r w:rsidRPr="00960DFD">
        <w:rPr>
          <w:rFonts w:ascii="Segoe UI" w:eastAsia="Times New Roman" w:hAnsi="Segoe UI" w:cs="Segoe UI"/>
          <w:color w:val="212529"/>
          <w:kern w:val="0"/>
          <w:sz w:val="24"/>
          <w:szCs w:val="24"/>
          <w:lang w:eastAsia="en-IN"/>
          <w14:ligatures w14:val="none"/>
        </w:rPr>
        <w:t xml:space="preserve"> vs the </w:t>
      </w:r>
      <w:proofErr w:type="gramStart"/>
      <w:r w:rsidRPr="00960DFD">
        <w:rPr>
          <w:rFonts w:ascii="Segoe UI" w:eastAsia="Times New Roman" w:hAnsi="Segoe UI" w:cs="Segoe UI"/>
          <w:color w:val="212529"/>
          <w:kern w:val="0"/>
          <w:sz w:val="24"/>
          <w:szCs w:val="24"/>
          <w:lang w:eastAsia="en-IN"/>
          <w14:ligatures w14:val="none"/>
        </w:rPr>
        <w:t>10 year</w:t>
      </w:r>
      <w:proofErr w:type="gramEnd"/>
      <w:r w:rsidRPr="00960DFD">
        <w:rPr>
          <w:rFonts w:ascii="Segoe UI" w:eastAsia="Times New Roman" w:hAnsi="Segoe UI" w:cs="Segoe UI"/>
          <w:color w:val="212529"/>
          <w:kern w:val="0"/>
          <w:sz w:val="24"/>
          <w:szCs w:val="24"/>
          <w:lang w:eastAsia="en-IN"/>
          <w14:ligatures w14:val="none"/>
        </w:rPr>
        <w:t xml:space="preserve"> average.</w:t>
      </w:r>
    </w:p>
    <w:p w14:paraId="7DBC40BC"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trade volume for </w:t>
      </w:r>
      <w:hyperlink r:id="rId25"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is </w:t>
      </w:r>
      <w:r w:rsidRPr="00960DFD">
        <w:rPr>
          <w:rFonts w:ascii="Segoe UI" w:eastAsia="Times New Roman" w:hAnsi="Segoe UI" w:cs="Segoe UI"/>
          <w:b/>
          <w:bCs/>
          <w:color w:val="212529"/>
          <w:kern w:val="0"/>
          <w:sz w:val="24"/>
          <w:szCs w:val="24"/>
          <w:lang w:eastAsia="en-IN"/>
          <w14:ligatures w14:val="none"/>
        </w:rPr>
        <w:t>-57.85%</w:t>
      </w:r>
      <w:r w:rsidRPr="00960DFD">
        <w:rPr>
          <w:rFonts w:ascii="Segoe UI" w:eastAsia="Times New Roman" w:hAnsi="Segoe UI" w:cs="Segoe UI"/>
          <w:color w:val="212529"/>
          <w:kern w:val="0"/>
          <w:sz w:val="24"/>
          <w:szCs w:val="24"/>
          <w:lang w:eastAsia="en-IN"/>
          <w14:ligatures w14:val="none"/>
        </w:rPr>
        <w:t xml:space="preserve"> vs the </w:t>
      </w:r>
      <w:proofErr w:type="gramStart"/>
      <w:r w:rsidRPr="00960DFD">
        <w:rPr>
          <w:rFonts w:ascii="Segoe UI" w:eastAsia="Times New Roman" w:hAnsi="Segoe UI" w:cs="Segoe UI"/>
          <w:color w:val="212529"/>
          <w:kern w:val="0"/>
          <w:sz w:val="24"/>
          <w:szCs w:val="24"/>
          <w:lang w:eastAsia="en-IN"/>
          <w14:ligatures w14:val="none"/>
        </w:rPr>
        <w:t>15 year</w:t>
      </w:r>
      <w:proofErr w:type="gramEnd"/>
      <w:r w:rsidRPr="00960DFD">
        <w:rPr>
          <w:rFonts w:ascii="Segoe UI" w:eastAsia="Times New Roman" w:hAnsi="Segoe UI" w:cs="Segoe UI"/>
          <w:color w:val="212529"/>
          <w:kern w:val="0"/>
          <w:sz w:val="24"/>
          <w:szCs w:val="24"/>
          <w:lang w:eastAsia="en-IN"/>
          <w14:ligatures w14:val="none"/>
        </w:rPr>
        <w:t xml:space="preserve"> average.</w:t>
      </w:r>
    </w:p>
    <w:p w14:paraId="0774F5CD" w14:textId="77777777" w:rsid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r w:rsidRPr="00960DFD">
        <w:rPr>
          <w:rFonts w:ascii="Segoe UI" w:eastAsia="Times New Roman" w:hAnsi="Segoe UI" w:cs="Segoe UI"/>
          <w:color w:val="212529"/>
          <w:kern w:val="0"/>
          <w:sz w:val="24"/>
          <w:szCs w:val="24"/>
          <w:lang w:eastAsia="en-IN"/>
          <w14:ligatures w14:val="none"/>
        </w:rPr>
        <w:t>The current trade volume for </w:t>
      </w:r>
      <w:hyperlink r:id="rId26" w:history="1">
        <w:r w:rsidRPr="00960DFD">
          <w:rPr>
            <w:rFonts w:ascii="Segoe UI" w:eastAsia="Times New Roman" w:hAnsi="Segoe UI" w:cs="Segoe UI"/>
            <w:color w:val="112236"/>
            <w:kern w:val="0"/>
            <w:sz w:val="24"/>
            <w:szCs w:val="24"/>
            <w:u w:val="single"/>
            <w:lang w:eastAsia="en-IN"/>
            <w14:ligatures w14:val="none"/>
          </w:rPr>
          <w:t>GS</w:t>
        </w:r>
      </w:hyperlink>
      <w:r w:rsidRPr="00960DFD">
        <w:rPr>
          <w:rFonts w:ascii="Segoe UI" w:eastAsia="Times New Roman" w:hAnsi="Segoe UI" w:cs="Segoe UI"/>
          <w:color w:val="212529"/>
          <w:kern w:val="0"/>
          <w:sz w:val="24"/>
          <w:szCs w:val="24"/>
          <w:lang w:eastAsia="en-IN"/>
          <w14:ligatures w14:val="none"/>
        </w:rPr>
        <w:t> is </w:t>
      </w:r>
      <w:r w:rsidRPr="00960DFD">
        <w:rPr>
          <w:rFonts w:ascii="Segoe UI" w:eastAsia="Times New Roman" w:hAnsi="Segoe UI" w:cs="Segoe UI"/>
          <w:b/>
          <w:bCs/>
          <w:color w:val="212529"/>
          <w:kern w:val="0"/>
          <w:sz w:val="24"/>
          <w:szCs w:val="24"/>
          <w:lang w:eastAsia="en-IN"/>
          <w14:ligatures w14:val="none"/>
        </w:rPr>
        <w:t>-63.47%</w:t>
      </w:r>
      <w:r w:rsidRPr="00960DFD">
        <w:rPr>
          <w:rFonts w:ascii="Segoe UI" w:eastAsia="Times New Roman" w:hAnsi="Segoe UI" w:cs="Segoe UI"/>
          <w:color w:val="212529"/>
          <w:kern w:val="0"/>
          <w:sz w:val="24"/>
          <w:szCs w:val="24"/>
          <w:lang w:eastAsia="en-IN"/>
          <w14:ligatures w14:val="none"/>
        </w:rPr>
        <w:t xml:space="preserve"> vs the </w:t>
      </w:r>
      <w:proofErr w:type="gramStart"/>
      <w:r w:rsidRPr="00960DFD">
        <w:rPr>
          <w:rFonts w:ascii="Segoe UI" w:eastAsia="Times New Roman" w:hAnsi="Segoe UI" w:cs="Segoe UI"/>
          <w:color w:val="212529"/>
          <w:kern w:val="0"/>
          <w:sz w:val="24"/>
          <w:szCs w:val="24"/>
          <w:lang w:eastAsia="en-IN"/>
          <w14:ligatures w14:val="none"/>
        </w:rPr>
        <w:t>20 year</w:t>
      </w:r>
      <w:proofErr w:type="gramEnd"/>
      <w:r w:rsidRPr="00960DFD">
        <w:rPr>
          <w:rFonts w:ascii="Segoe UI" w:eastAsia="Times New Roman" w:hAnsi="Segoe UI" w:cs="Segoe UI"/>
          <w:color w:val="212529"/>
          <w:kern w:val="0"/>
          <w:sz w:val="24"/>
          <w:szCs w:val="24"/>
          <w:lang w:eastAsia="en-IN"/>
          <w14:ligatures w14:val="none"/>
        </w:rPr>
        <w:t xml:space="preserve"> average</w:t>
      </w:r>
    </w:p>
    <w:p w14:paraId="78A58D04" w14:textId="77777777" w:rsidR="00960DFD" w:rsidRPr="00960DFD" w:rsidRDefault="00960DFD" w:rsidP="00960DFD">
      <w:pPr>
        <w:shd w:val="clear" w:color="auto" w:fill="FFFFFF"/>
        <w:spacing w:after="0" w:line="240" w:lineRule="auto"/>
        <w:rPr>
          <w:rFonts w:ascii="Segoe UI" w:eastAsia="Times New Roman" w:hAnsi="Segoe UI" w:cs="Segoe UI"/>
          <w:color w:val="212529"/>
          <w:kern w:val="0"/>
          <w:sz w:val="24"/>
          <w:szCs w:val="24"/>
          <w:lang w:eastAsia="en-IN"/>
          <w14:ligatures w14:val="none"/>
        </w:rPr>
      </w:pPr>
    </w:p>
    <w:p w14:paraId="52337584" w14:textId="1868B9A6" w:rsidR="00960DFD" w:rsidRDefault="00960DFD" w:rsidP="00960DFD">
      <w:pPr>
        <w:ind w:left="720"/>
        <w:rPr>
          <w:sz w:val="40"/>
          <w:szCs w:val="40"/>
        </w:rPr>
      </w:pPr>
      <w:r>
        <w:rPr>
          <w:sz w:val="40"/>
          <w:szCs w:val="40"/>
        </w:rPr>
        <w:t xml:space="preserve">  STOCK </w:t>
      </w:r>
      <w:proofErr w:type="gramStart"/>
      <w:r>
        <w:rPr>
          <w:sz w:val="40"/>
          <w:szCs w:val="40"/>
        </w:rPr>
        <w:t>COMPARISON  AND</w:t>
      </w:r>
      <w:proofErr w:type="gramEnd"/>
      <w:r>
        <w:rPr>
          <w:sz w:val="40"/>
          <w:szCs w:val="40"/>
        </w:rPr>
        <w:t xml:space="preserve"> ANALYSIS</w:t>
      </w:r>
    </w:p>
    <w:tbl>
      <w:tblPr>
        <w:tblW w:w="1433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74"/>
        <w:gridCol w:w="2640"/>
        <w:gridCol w:w="2640"/>
        <w:gridCol w:w="2640"/>
        <w:gridCol w:w="2640"/>
      </w:tblGrid>
      <w:tr w:rsidR="004A439D" w:rsidRPr="004A439D" w14:paraId="19217944" w14:textId="77777777" w:rsidTr="004A439D">
        <w:trPr>
          <w:tblHeader/>
        </w:trPr>
        <w:tc>
          <w:tcPr>
            <w:tcW w:w="3774" w:type="dxa"/>
            <w:shd w:val="clear" w:color="auto" w:fill="FFFFFF"/>
            <w:tcMar>
              <w:top w:w="150" w:type="dxa"/>
              <w:left w:w="0" w:type="dxa"/>
              <w:bottom w:w="150" w:type="dxa"/>
              <w:right w:w="0" w:type="dxa"/>
            </w:tcMar>
            <w:vAlign w:val="center"/>
            <w:hideMark/>
          </w:tcPr>
          <w:p w14:paraId="303D57E6" w14:textId="77777777" w:rsidR="004A439D" w:rsidRPr="004A439D" w:rsidRDefault="004A439D" w:rsidP="004A439D">
            <w:pPr>
              <w:spacing w:after="375" w:line="240" w:lineRule="auto"/>
              <w:jc w:val="center"/>
              <w:rPr>
                <w:rFonts w:ascii="Helvetica" w:eastAsia="Times New Roman" w:hAnsi="Helvetica" w:cs="Helvetica"/>
                <w:b/>
                <w:bCs/>
                <w:color w:val="232A31"/>
                <w:kern w:val="0"/>
                <w:sz w:val="20"/>
                <w:szCs w:val="20"/>
                <w:lang w:eastAsia="en-IN"/>
                <w14:ligatures w14:val="none"/>
              </w:rPr>
            </w:pPr>
            <w:r w:rsidRPr="004A439D">
              <w:rPr>
                <w:rFonts w:ascii="Helvetica" w:eastAsia="Times New Roman" w:hAnsi="Helvetica" w:cs="Helvetica"/>
                <w:b/>
                <w:bCs/>
                <w:color w:val="232A31"/>
                <w:kern w:val="0"/>
                <w:sz w:val="20"/>
                <w:szCs w:val="20"/>
                <w:lang w:eastAsia="en-IN"/>
                <w14:ligatures w14:val="none"/>
              </w:rPr>
              <w:t>Earnings Estimate</w:t>
            </w:r>
          </w:p>
        </w:tc>
        <w:tc>
          <w:tcPr>
            <w:tcW w:w="2640" w:type="dxa"/>
            <w:shd w:val="clear" w:color="auto" w:fill="FFFFFF"/>
            <w:tcMar>
              <w:top w:w="0" w:type="dxa"/>
              <w:left w:w="0" w:type="dxa"/>
              <w:bottom w:w="0" w:type="dxa"/>
              <w:right w:w="0" w:type="dxa"/>
            </w:tcMar>
            <w:vAlign w:val="center"/>
            <w:hideMark/>
          </w:tcPr>
          <w:p w14:paraId="3C61D85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Qtr. (Mar 2024)</w:t>
            </w:r>
          </w:p>
        </w:tc>
        <w:tc>
          <w:tcPr>
            <w:tcW w:w="2640" w:type="dxa"/>
            <w:shd w:val="clear" w:color="auto" w:fill="FFFFFF"/>
            <w:tcMar>
              <w:top w:w="0" w:type="dxa"/>
              <w:left w:w="0" w:type="dxa"/>
              <w:bottom w:w="0" w:type="dxa"/>
              <w:right w:w="0" w:type="dxa"/>
            </w:tcMar>
            <w:vAlign w:val="center"/>
            <w:hideMark/>
          </w:tcPr>
          <w:p w14:paraId="10B4530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Qtr. (Jun 2024)</w:t>
            </w:r>
          </w:p>
        </w:tc>
        <w:tc>
          <w:tcPr>
            <w:tcW w:w="2640" w:type="dxa"/>
            <w:shd w:val="clear" w:color="auto" w:fill="FFFFFF"/>
            <w:tcMar>
              <w:top w:w="0" w:type="dxa"/>
              <w:left w:w="0" w:type="dxa"/>
              <w:bottom w:w="0" w:type="dxa"/>
              <w:right w:w="0" w:type="dxa"/>
            </w:tcMar>
            <w:vAlign w:val="center"/>
            <w:hideMark/>
          </w:tcPr>
          <w:p w14:paraId="70E1DE7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Year (2024)</w:t>
            </w:r>
          </w:p>
        </w:tc>
        <w:tc>
          <w:tcPr>
            <w:tcW w:w="2640" w:type="dxa"/>
            <w:shd w:val="clear" w:color="auto" w:fill="FFFFFF"/>
            <w:tcMar>
              <w:top w:w="0" w:type="dxa"/>
              <w:left w:w="0" w:type="dxa"/>
              <w:bottom w:w="0" w:type="dxa"/>
              <w:right w:w="0" w:type="dxa"/>
            </w:tcMar>
            <w:vAlign w:val="center"/>
            <w:hideMark/>
          </w:tcPr>
          <w:p w14:paraId="2420CB3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Year (2025)</w:t>
            </w:r>
          </w:p>
        </w:tc>
      </w:tr>
      <w:tr w:rsidR="004A439D" w:rsidRPr="004A439D" w14:paraId="1967F1C5" w14:textId="77777777" w:rsidTr="004A439D">
        <w:tc>
          <w:tcPr>
            <w:tcW w:w="3774" w:type="dxa"/>
            <w:shd w:val="clear" w:color="auto" w:fill="FFFFFF"/>
            <w:tcMar>
              <w:top w:w="150" w:type="dxa"/>
              <w:left w:w="0" w:type="dxa"/>
              <w:bottom w:w="150" w:type="dxa"/>
              <w:right w:w="0" w:type="dxa"/>
            </w:tcMar>
            <w:vAlign w:val="center"/>
            <w:hideMark/>
          </w:tcPr>
          <w:p w14:paraId="3435EF9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No. of Analysts</w:t>
            </w:r>
          </w:p>
        </w:tc>
        <w:tc>
          <w:tcPr>
            <w:tcW w:w="0" w:type="auto"/>
            <w:shd w:val="clear" w:color="auto" w:fill="FFFFFF"/>
            <w:tcMar>
              <w:top w:w="0" w:type="dxa"/>
              <w:left w:w="0" w:type="dxa"/>
              <w:bottom w:w="0" w:type="dxa"/>
              <w:right w:w="0" w:type="dxa"/>
            </w:tcMar>
            <w:vAlign w:val="center"/>
            <w:hideMark/>
          </w:tcPr>
          <w:p w14:paraId="143504B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17</w:t>
            </w:r>
          </w:p>
        </w:tc>
        <w:tc>
          <w:tcPr>
            <w:tcW w:w="0" w:type="auto"/>
            <w:shd w:val="clear" w:color="auto" w:fill="FFFFFF"/>
            <w:tcMar>
              <w:top w:w="0" w:type="dxa"/>
              <w:left w:w="0" w:type="dxa"/>
              <w:bottom w:w="0" w:type="dxa"/>
              <w:right w:w="0" w:type="dxa"/>
            </w:tcMar>
            <w:vAlign w:val="center"/>
            <w:hideMark/>
          </w:tcPr>
          <w:p w14:paraId="5102B54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16</w:t>
            </w:r>
          </w:p>
        </w:tc>
        <w:tc>
          <w:tcPr>
            <w:tcW w:w="0" w:type="auto"/>
            <w:shd w:val="clear" w:color="auto" w:fill="FFFFFF"/>
            <w:tcMar>
              <w:top w:w="0" w:type="dxa"/>
              <w:left w:w="0" w:type="dxa"/>
              <w:bottom w:w="0" w:type="dxa"/>
              <w:right w:w="0" w:type="dxa"/>
            </w:tcMar>
            <w:vAlign w:val="center"/>
            <w:hideMark/>
          </w:tcPr>
          <w:p w14:paraId="6FF2162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23</w:t>
            </w:r>
          </w:p>
        </w:tc>
        <w:tc>
          <w:tcPr>
            <w:tcW w:w="0" w:type="auto"/>
            <w:shd w:val="clear" w:color="auto" w:fill="FFFFFF"/>
            <w:tcMar>
              <w:top w:w="0" w:type="dxa"/>
              <w:left w:w="0" w:type="dxa"/>
              <w:bottom w:w="0" w:type="dxa"/>
              <w:right w:w="0" w:type="dxa"/>
            </w:tcMar>
            <w:vAlign w:val="center"/>
            <w:hideMark/>
          </w:tcPr>
          <w:p w14:paraId="3547AA9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22</w:t>
            </w:r>
          </w:p>
        </w:tc>
      </w:tr>
      <w:tr w:rsidR="004A439D" w:rsidRPr="004A439D" w14:paraId="6FBCFB2B" w14:textId="77777777" w:rsidTr="004A439D">
        <w:tc>
          <w:tcPr>
            <w:tcW w:w="3774" w:type="dxa"/>
            <w:shd w:val="clear" w:color="auto" w:fill="FFFFFF"/>
            <w:tcMar>
              <w:top w:w="150" w:type="dxa"/>
              <w:left w:w="0" w:type="dxa"/>
              <w:bottom w:w="150" w:type="dxa"/>
              <w:right w:w="0" w:type="dxa"/>
            </w:tcMar>
            <w:vAlign w:val="center"/>
            <w:hideMark/>
          </w:tcPr>
          <w:p w14:paraId="43B2CBA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Avg. Estimate</w:t>
            </w:r>
          </w:p>
        </w:tc>
        <w:tc>
          <w:tcPr>
            <w:tcW w:w="0" w:type="auto"/>
            <w:shd w:val="clear" w:color="auto" w:fill="FFFFFF"/>
            <w:tcMar>
              <w:top w:w="0" w:type="dxa"/>
              <w:left w:w="0" w:type="dxa"/>
              <w:bottom w:w="0" w:type="dxa"/>
              <w:right w:w="0" w:type="dxa"/>
            </w:tcMar>
            <w:vAlign w:val="center"/>
            <w:hideMark/>
          </w:tcPr>
          <w:p w14:paraId="3D3BFBF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8.8</w:t>
            </w:r>
          </w:p>
        </w:tc>
        <w:tc>
          <w:tcPr>
            <w:tcW w:w="0" w:type="auto"/>
            <w:shd w:val="clear" w:color="auto" w:fill="FFFFFF"/>
            <w:tcMar>
              <w:top w:w="0" w:type="dxa"/>
              <w:left w:w="0" w:type="dxa"/>
              <w:bottom w:w="0" w:type="dxa"/>
              <w:right w:w="0" w:type="dxa"/>
            </w:tcMar>
            <w:vAlign w:val="center"/>
            <w:hideMark/>
          </w:tcPr>
          <w:p w14:paraId="413E304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8.35</w:t>
            </w:r>
          </w:p>
        </w:tc>
        <w:tc>
          <w:tcPr>
            <w:tcW w:w="0" w:type="auto"/>
            <w:shd w:val="clear" w:color="auto" w:fill="FFFFFF"/>
            <w:tcMar>
              <w:top w:w="0" w:type="dxa"/>
              <w:left w:w="0" w:type="dxa"/>
              <w:bottom w:w="0" w:type="dxa"/>
              <w:right w:w="0" w:type="dxa"/>
            </w:tcMar>
            <w:vAlign w:val="center"/>
            <w:hideMark/>
          </w:tcPr>
          <w:p w14:paraId="09D0310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33.83</w:t>
            </w:r>
          </w:p>
        </w:tc>
        <w:tc>
          <w:tcPr>
            <w:tcW w:w="0" w:type="auto"/>
            <w:shd w:val="clear" w:color="auto" w:fill="FFFFFF"/>
            <w:tcMar>
              <w:top w:w="0" w:type="dxa"/>
              <w:left w:w="0" w:type="dxa"/>
              <w:bottom w:w="0" w:type="dxa"/>
              <w:right w:w="0" w:type="dxa"/>
            </w:tcMar>
            <w:vAlign w:val="center"/>
            <w:hideMark/>
          </w:tcPr>
          <w:p w14:paraId="12F5835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38.99</w:t>
            </w:r>
          </w:p>
        </w:tc>
      </w:tr>
      <w:tr w:rsidR="004A439D" w:rsidRPr="004A439D" w14:paraId="2B3326BD" w14:textId="77777777" w:rsidTr="004A439D">
        <w:tc>
          <w:tcPr>
            <w:tcW w:w="3774" w:type="dxa"/>
            <w:shd w:val="clear" w:color="auto" w:fill="FFFFFF"/>
            <w:tcMar>
              <w:top w:w="150" w:type="dxa"/>
              <w:left w:w="0" w:type="dxa"/>
              <w:bottom w:w="150" w:type="dxa"/>
              <w:right w:w="0" w:type="dxa"/>
            </w:tcMar>
            <w:vAlign w:val="center"/>
            <w:hideMark/>
          </w:tcPr>
          <w:p w14:paraId="3FFC9AE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Low Estimate</w:t>
            </w:r>
          </w:p>
        </w:tc>
        <w:tc>
          <w:tcPr>
            <w:tcW w:w="0" w:type="auto"/>
            <w:shd w:val="clear" w:color="auto" w:fill="FFFFFF"/>
            <w:tcMar>
              <w:top w:w="0" w:type="dxa"/>
              <w:left w:w="0" w:type="dxa"/>
              <w:bottom w:w="0" w:type="dxa"/>
              <w:right w:w="0" w:type="dxa"/>
            </w:tcMar>
            <w:vAlign w:val="center"/>
            <w:hideMark/>
          </w:tcPr>
          <w:p w14:paraId="58CF7A8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7.81</w:t>
            </w:r>
          </w:p>
        </w:tc>
        <w:tc>
          <w:tcPr>
            <w:tcW w:w="0" w:type="auto"/>
            <w:shd w:val="clear" w:color="auto" w:fill="FFFFFF"/>
            <w:tcMar>
              <w:top w:w="0" w:type="dxa"/>
              <w:left w:w="0" w:type="dxa"/>
              <w:bottom w:w="0" w:type="dxa"/>
              <w:right w:w="0" w:type="dxa"/>
            </w:tcMar>
            <w:vAlign w:val="center"/>
            <w:hideMark/>
          </w:tcPr>
          <w:p w14:paraId="2A9CEC2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6.78</w:t>
            </w:r>
          </w:p>
        </w:tc>
        <w:tc>
          <w:tcPr>
            <w:tcW w:w="0" w:type="auto"/>
            <w:shd w:val="clear" w:color="auto" w:fill="FFFFFF"/>
            <w:tcMar>
              <w:top w:w="0" w:type="dxa"/>
              <w:left w:w="0" w:type="dxa"/>
              <w:bottom w:w="0" w:type="dxa"/>
              <w:right w:w="0" w:type="dxa"/>
            </w:tcMar>
            <w:vAlign w:val="center"/>
            <w:hideMark/>
          </w:tcPr>
          <w:p w14:paraId="611D77B3"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30.13</w:t>
            </w:r>
          </w:p>
        </w:tc>
        <w:tc>
          <w:tcPr>
            <w:tcW w:w="0" w:type="auto"/>
            <w:shd w:val="clear" w:color="auto" w:fill="FFFFFF"/>
            <w:tcMar>
              <w:top w:w="0" w:type="dxa"/>
              <w:left w:w="0" w:type="dxa"/>
              <w:bottom w:w="0" w:type="dxa"/>
              <w:right w:w="0" w:type="dxa"/>
            </w:tcMar>
            <w:vAlign w:val="center"/>
            <w:hideMark/>
          </w:tcPr>
          <w:p w14:paraId="428609C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34.69</w:t>
            </w:r>
          </w:p>
        </w:tc>
      </w:tr>
      <w:tr w:rsidR="004A439D" w:rsidRPr="004A439D" w14:paraId="7136B2C8" w14:textId="77777777" w:rsidTr="004A439D">
        <w:tc>
          <w:tcPr>
            <w:tcW w:w="3774" w:type="dxa"/>
            <w:shd w:val="clear" w:color="auto" w:fill="FFFFFF"/>
            <w:tcMar>
              <w:top w:w="150" w:type="dxa"/>
              <w:left w:w="0" w:type="dxa"/>
              <w:bottom w:w="150" w:type="dxa"/>
              <w:right w:w="0" w:type="dxa"/>
            </w:tcMar>
            <w:vAlign w:val="center"/>
            <w:hideMark/>
          </w:tcPr>
          <w:p w14:paraId="6461E0A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lastRenderedPageBreak/>
              <w:t>High Estimate</w:t>
            </w:r>
          </w:p>
        </w:tc>
        <w:tc>
          <w:tcPr>
            <w:tcW w:w="0" w:type="auto"/>
            <w:shd w:val="clear" w:color="auto" w:fill="FFFFFF"/>
            <w:tcMar>
              <w:top w:w="0" w:type="dxa"/>
              <w:left w:w="0" w:type="dxa"/>
              <w:bottom w:w="0" w:type="dxa"/>
              <w:right w:w="0" w:type="dxa"/>
            </w:tcMar>
            <w:vAlign w:val="center"/>
            <w:hideMark/>
          </w:tcPr>
          <w:p w14:paraId="19F41EC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9.41</w:t>
            </w:r>
          </w:p>
        </w:tc>
        <w:tc>
          <w:tcPr>
            <w:tcW w:w="0" w:type="auto"/>
            <w:shd w:val="clear" w:color="auto" w:fill="FFFFFF"/>
            <w:tcMar>
              <w:top w:w="0" w:type="dxa"/>
              <w:left w:w="0" w:type="dxa"/>
              <w:bottom w:w="0" w:type="dxa"/>
              <w:right w:w="0" w:type="dxa"/>
            </w:tcMar>
            <w:vAlign w:val="center"/>
            <w:hideMark/>
          </w:tcPr>
          <w:p w14:paraId="454E071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9.34</w:t>
            </w:r>
          </w:p>
        </w:tc>
        <w:tc>
          <w:tcPr>
            <w:tcW w:w="0" w:type="auto"/>
            <w:shd w:val="clear" w:color="auto" w:fill="FFFFFF"/>
            <w:tcMar>
              <w:top w:w="0" w:type="dxa"/>
              <w:left w:w="0" w:type="dxa"/>
              <w:bottom w:w="0" w:type="dxa"/>
              <w:right w:w="0" w:type="dxa"/>
            </w:tcMar>
            <w:vAlign w:val="center"/>
            <w:hideMark/>
          </w:tcPr>
          <w:p w14:paraId="5D730A2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38.8</w:t>
            </w:r>
          </w:p>
        </w:tc>
        <w:tc>
          <w:tcPr>
            <w:tcW w:w="0" w:type="auto"/>
            <w:shd w:val="clear" w:color="auto" w:fill="FFFFFF"/>
            <w:tcMar>
              <w:top w:w="0" w:type="dxa"/>
              <w:left w:w="0" w:type="dxa"/>
              <w:bottom w:w="0" w:type="dxa"/>
              <w:right w:w="0" w:type="dxa"/>
            </w:tcMar>
            <w:vAlign w:val="center"/>
            <w:hideMark/>
          </w:tcPr>
          <w:p w14:paraId="215912E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41.5</w:t>
            </w:r>
          </w:p>
        </w:tc>
      </w:tr>
      <w:tr w:rsidR="004A439D" w:rsidRPr="004A439D" w14:paraId="2DFD9144" w14:textId="77777777" w:rsidTr="004A439D">
        <w:tc>
          <w:tcPr>
            <w:tcW w:w="3774" w:type="dxa"/>
            <w:shd w:val="clear" w:color="auto" w:fill="FFFFFF"/>
            <w:tcMar>
              <w:top w:w="150" w:type="dxa"/>
              <w:left w:w="0" w:type="dxa"/>
              <w:bottom w:w="150" w:type="dxa"/>
              <w:right w:w="0" w:type="dxa"/>
            </w:tcMar>
            <w:vAlign w:val="center"/>
            <w:hideMark/>
          </w:tcPr>
          <w:p w14:paraId="5A75897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 xml:space="preserve">Year </w:t>
            </w:r>
            <w:proofErr w:type="gramStart"/>
            <w:r w:rsidRPr="004A439D">
              <w:rPr>
                <w:rFonts w:ascii="Helvetica" w:eastAsia="Times New Roman" w:hAnsi="Helvetica" w:cs="Helvetica"/>
                <w:color w:val="232A31"/>
                <w:kern w:val="0"/>
                <w:sz w:val="20"/>
                <w:szCs w:val="20"/>
                <w:lang w:eastAsia="en-IN"/>
                <w14:ligatures w14:val="none"/>
              </w:rPr>
              <w:t>Ago</w:t>
            </w:r>
            <w:proofErr w:type="gramEnd"/>
            <w:r w:rsidRPr="004A439D">
              <w:rPr>
                <w:rFonts w:ascii="Helvetica" w:eastAsia="Times New Roman" w:hAnsi="Helvetica" w:cs="Helvetica"/>
                <w:color w:val="232A31"/>
                <w:kern w:val="0"/>
                <w:sz w:val="20"/>
                <w:szCs w:val="20"/>
                <w:lang w:eastAsia="en-IN"/>
                <w14:ligatures w14:val="none"/>
              </w:rPr>
              <w:t xml:space="preserve"> EPS</w:t>
            </w:r>
          </w:p>
        </w:tc>
        <w:tc>
          <w:tcPr>
            <w:tcW w:w="0" w:type="auto"/>
            <w:shd w:val="clear" w:color="auto" w:fill="FFFFFF"/>
            <w:tcMar>
              <w:top w:w="0" w:type="dxa"/>
              <w:left w:w="0" w:type="dxa"/>
              <w:bottom w:w="0" w:type="dxa"/>
              <w:right w:w="0" w:type="dxa"/>
            </w:tcMar>
            <w:vAlign w:val="center"/>
            <w:hideMark/>
          </w:tcPr>
          <w:p w14:paraId="6A272F6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8.79</w:t>
            </w:r>
          </w:p>
        </w:tc>
        <w:tc>
          <w:tcPr>
            <w:tcW w:w="0" w:type="auto"/>
            <w:shd w:val="clear" w:color="auto" w:fill="FFFFFF"/>
            <w:tcMar>
              <w:top w:w="0" w:type="dxa"/>
              <w:left w:w="0" w:type="dxa"/>
              <w:bottom w:w="0" w:type="dxa"/>
              <w:right w:w="0" w:type="dxa"/>
            </w:tcMar>
            <w:vAlign w:val="center"/>
            <w:hideMark/>
          </w:tcPr>
          <w:p w14:paraId="7C539EA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3.08</w:t>
            </w:r>
          </w:p>
        </w:tc>
        <w:tc>
          <w:tcPr>
            <w:tcW w:w="0" w:type="auto"/>
            <w:shd w:val="clear" w:color="auto" w:fill="FFFFFF"/>
            <w:tcMar>
              <w:top w:w="0" w:type="dxa"/>
              <w:left w:w="0" w:type="dxa"/>
              <w:bottom w:w="0" w:type="dxa"/>
              <w:right w:w="0" w:type="dxa"/>
            </w:tcMar>
            <w:vAlign w:val="center"/>
            <w:hideMark/>
          </w:tcPr>
          <w:p w14:paraId="2EFB152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22.87</w:t>
            </w:r>
          </w:p>
        </w:tc>
        <w:tc>
          <w:tcPr>
            <w:tcW w:w="0" w:type="auto"/>
            <w:shd w:val="clear" w:color="auto" w:fill="FFFFFF"/>
            <w:tcMar>
              <w:top w:w="0" w:type="dxa"/>
              <w:left w:w="0" w:type="dxa"/>
              <w:bottom w:w="0" w:type="dxa"/>
              <w:right w:w="0" w:type="dxa"/>
            </w:tcMar>
            <w:vAlign w:val="center"/>
            <w:hideMark/>
          </w:tcPr>
          <w:p w14:paraId="7167964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33.83</w:t>
            </w:r>
          </w:p>
        </w:tc>
      </w:tr>
    </w:tbl>
    <w:p w14:paraId="73BAA542" w14:textId="77777777" w:rsidR="004A439D" w:rsidRPr="004A439D" w:rsidRDefault="004A439D" w:rsidP="004A439D">
      <w:pPr>
        <w:spacing w:after="0" w:line="240" w:lineRule="auto"/>
        <w:jc w:val="center"/>
        <w:rPr>
          <w:rFonts w:ascii="Times New Roman" w:eastAsia="Times New Roman" w:hAnsi="Times New Roman" w:cs="Times New Roman"/>
          <w:vanish/>
          <w:kern w:val="0"/>
          <w:sz w:val="24"/>
          <w:szCs w:val="24"/>
          <w:lang w:eastAsia="en-IN"/>
          <w14:ligatures w14:val="none"/>
        </w:rPr>
      </w:pPr>
    </w:p>
    <w:tbl>
      <w:tblPr>
        <w:tblW w:w="14474" w:type="dxa"/>
        <w:tblInd w:w="-1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14"/>
        <w:gridCol w:w="2640"/>
        <w:gridCol w:w="2640"/>
        <w:gridCol w:w="2640"/>
        <w:gridCol w:w="2640"/>
      </w:tblGrid>
      <w:tr w:rsidR="004A439D" w:rsidRPr="004A439D" w14:paraId="0AE16DE0" w14:textId="77777777" w:rsidTr="004A439D">
        <w:trPr>
          <w:tblHeader/>
        </w:trPr>
        <w:tc>
          <w:tcPr>
            <w:tcW w:w="3914" w:type="dxa"/>
            <w:shd w:val="clear" w:color="auto" w:fill="FFFFFF"/>
            <w:tcMar>
              <w:top w:w="150" w:type="dxa"/>
              <w:left w:w="0" w:type="dxa"/>
              <w:bottom w:w="150" w:type="dxa"/>
              <w:right w:w="0" w:type="dxa"/>
            </w:tcMar>
            <w:vAlign w:val="center"/>
            <w:hideMark/>
          </w:tcPr>
          <w:p w14:paraId="5A62C0B9" w14:textId="77777777" w:rsidR="004A439D" w:rsidRPr="004A439D" w:rsidRDefault="004A439D" w:rsidP="004A439D">
            <w:pPr>
              <w:spacing w:after="375" w:line="240" w:lineRule="auto"/>
              <w:jc w:val="center"/>
              <w:rPr>
                <w:rFonts w:ascii="Helvetica" w:eastAsia="Times New Roman" w:hAnsi="Helvetica" w:cs="Helvetica"/>
                <w:b/>
                <w:bCs/>
                <w:color w:val="232A31"/>
                <w:kern w:val="0"/>
                <w:sz w:val="20"/>
                <w:szCs w:val="20"/>
                <w:lang w:eastAsia="en-IN"/>
                <w14:ligatures w14:val="none"/>
              </w:rPr>
            </w:pPr>
            <w:r w:rsidRPr="004A439D">
              <w:rPr>
                <w:rFonts w:ascii="Helvetica" w:eastAsia="Times New Roman" w:hAnsi="Helvetica" w:cs="Helvetica"/>
                <w:b/>
                <w:bCs/>
                <w:color w:val="232A31"/>
                <w:kern w:val="0"/>
                <w:sz w:val="20"/>
                <w:szCs w:val="20"/>
                <w:lang w:eastAsia="en-IN"/>
                <w14:ligatures w14:val="none"/>
              </w:rPr>
              <w:t>Revenue Estimate</w:t>
            </w:r>
          </w:p>
        </w:tc>
        <w:tc>
          <w:tcPr>
            <w:tcW w:w="2640" w:type="dxa"/>
            <w:shd w:val="clear" w:color="auto" w:fill="FFFFFF"/>
            <w:tcMar>
              <w:top w:w="0" w:type="dxa"/>
              <w:left w:w="0" w:type="dxa"/>
              <w:bottom w:w="0" w:type="dxa"/>
              <w:right w:w="0" w:type="dxa"/>
            </w:tcMar>
            <w:vAlign w:val="center"/>
            <w:hideMark/>
          </w:tcPr>
          <w:p w14:paraId="19885AD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Qtr. (Mar 2024)</w:t>
            </w:r>
          </w:p>
        </w:tc>
        <w:tc>
          <w:tcPr>
            <w:tcW w:w="2640" w:type="dxa"/>
            <w:shd w:val="clear" w:color="auto" w:fill="FFFFFF"/>
            <w:tcMar>
              <w:top w:w="0" w:type="dxa"/>
              <w:left w:w="0" w:type="dxa"/>
              <w:bottom w:w="0" w:type="dxa"/>
              <w:right w:w="0" w:type="dxa"/>
            </w:tcMar>
            <w:vAlign w:val="center"/>
            <w:hideMark/>
          </w:tcPr>
          <w:p w14:paraId="1F11B79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Qtr. (Jun 2024)</w:t>
            </w:r>
          </w:p>
        </w:tc>
        <w:tc>
          <w:tcPr>
            <w:tcW w:w="2640" w:type="dxa"/>
            <w:shd w:val="clear" w:color="auto" w:fill="FFFFFF"/>
            <w:tcMar>
              <w:top w:w="0" w:type="dxa"/>
              <w:left w:w="0" w:type="dxa"/>
              <w:bottom w:w="0" w:type="dxa"/>
              <w:right w:w="0" w:type="dxa"/>
            </w:tcMar>
            <w:vAlign w:val="center"/>
            <w:hideMark/>
          </w:tcPr>
          <w:p w14:paraId="05BCA1E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Year (2024)</w:t>
            </w:r>
          </w:p>
        </w:tc>
        <w:tc>
          <w:tcPr>
            <w:tcW w:w="2640" w:type="dxa"/>
            <w:shd w:val="clear" w:color="auto" w:fill="FFFFFF"/>
            <w:tcMar>
              <w:top w:w="0" w:type="dxa"/>
              <w:left w:w="0" w:type="dxa"/>
              <w:bottom w:w="0" w:type="dxa"/>
              <w:right w:w="0" w:type="dxa"/>
            </w:tcMar>
            <w:vAlign w:val="center"/>
            <w:hideMark/>
          </w:tcPr>
          <w:p w14:paraId="309CCFE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Year (2025)</w:t>
            </w:r>
          </w:p>
        </w:tc>
      </w:tr>
      <w:tr w:rsidR="004A439D" w:rsidRPr="004A439D" w14:paraId="0C60C745" w14:textId="77777777" w:rsidTr="004A439D">
        <w:tc>
          <w:tcPr>
            <w:tcW w:w="3914" w:type="dxa"/>
            <w:shd w:val="clear" w:color="auto" w:fill="FFFFFF"/>
            <w:tcMar>
              <w:top w:w="150" w:type="dxa"/>
              <w:left w:w="0" w:type="dxa"/>
              <w:bottom w:w="150" w:type="dxa"/>
              <w:right w:w="0" w:type="dxa"/>
            </w:tcMar>
            <w:vAlign w:val="center"/>
            <w:hideMark/>
          </w:tcPr>
          <w:p w14:paraId="0540D563"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No. of Analysts</w:t>
            </w:r>
          </w:p>
        </w:tc>
        <w:tc>
          <w:tcPr>
            <w:tcW w:w="0" w:type="auto"/>
            <w:shd w:val="clear" w:color="auto" w:fill="FFFFFF"/>
            <w:tcMar>
              <w:top w:w="0" w:type="dxa"/>
              <w:left w:w="0" w:type="dxa"/>
              <w:bottom w:w="0" w:type="dxa"/>
              <w:right w:w="0" w:type="dxa"/>
            </w:tcMar>
            <w:vAlign w:val="center"/>
            <w:hideMark/>
          </w:tcPr>
          <w:p w14:paraId="2346F47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w:t>
            </w:r>
          </w:p>
        </w:tc>
        <w:tc>
          <w:tcPr>
            <w:tcW w:w="0" w:type="auto"/>
            <w:shd w:val="clear" w:color="auto" w:fill="FFFFFF"/>
            <w:tcMar>
              <w:top w:w="0" w:type="dxa"/>
              <w:left w:w="0" w:type="dxa"/>
              <w:bottom w:w="0" w:type="dxa"/>
              <w:right w:w="0" w:type="dxa"/>
            </w:tcMar>
            <w:vAlign w:val="center"/>
            <w:hideMark/>
          </w:tcPr>
          <w:p w14:paraId="741DF16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w:t>
            </w:r>
          </w:p>
        </w:tc>
        <w:tc>
          <w:tcPr>
            <w:tcW w:w="0" w:type="auto"/>
            <w:shd w:val="clear" w:color="auto" w:fill="FFFFFF"/>
            <w:tcMar>
              <w:top w:w="0" w:type="dxa"/>
              <w:left w:w="0" w:type="dxa"/>
              <w:bottom w:w="0" w:type="dxa"/>
              <w:right w:w="0" w:type="dxa"/>
            </w:tcMar>
            <w:vAlign w:val="center"/>
            <w:hideMark/>
          </w:tcPr>
          <w:p w14:paraId="3BC279F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19</w:t>
            </w:r>
          </w:p>
        </w:tc>
        <w:tc>
          <w:tcPr>
            <w:tcW w:w="0" w:type="auto"/>
            <w:shd w:val="clear" w:color="auto" w:fill="FFFFFF"/>
            <w:tcMar>
              <w:top w:w="0" w:type="dxa"/>
              <w:left w:w="0" w:type="dxa"/>
              <w:bottom w:w="0" w:type="dxa"/>
              <w:right w:w="0" w:type="dxa"/>
            </w:tcMar>
            <w:vAlign w:val="center"/>
            <w:hideMark/>
          </w:tcPr>
          <w:p w14:paraId="2ECD130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19</w:t>
            </w:r>
          </w:p>
        </w:tc>
      </w:tr>
      <w:tr w:rsidR="004A439D" w:rsidRPr="004A439D" w14:paraId="6F4AF9ED" w14:textId="77777777" w:rsidTr="004A439D">
        <w:tc>
          <w:tcPr>
            <w:tcW w:w="3914" w:type="dxa"/>
            <w:shd w:val="clear" w:color="auto" w:fill="FFFFFF"/>
            <w:tcMar>
              <w:top w:w="150" w:type="dxa"/>
              <w:left w:w="0" w:type="dxa"/>
              <w:bottom w:w="150" w:type="dxa"/>
              <w:right w:w="0" w:type="dxa"/>
            </w:tcMar>
            <w:vAlign w:val="center"/>
            <w:hideMark/>
          </w:tcPr>
          <w:p w14:paraId="77C96AF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Avg. Estimate</w:t>
            </w:r>
          </w:p>
        </w:tc>
        <w:tc>
          <w:tcPr>
            <w:tcW w:w="0" w:type="auto"/>
            <w:shd w:val="clear" w:color="auto" w:fill="FFFFFF"/>
            <w:tcMar>
              <w:top w:w="0" w:type="dxa"/>
              <w:left w:w="0" w:type="dxa"/>
              <w:bottom w:w="0" w:type="dxa"/>
              <w:right w:w="0" w:type="dxa"/>
            </w:tcMar>
            <w:vAlign w:val="center"/>
            <w:hideMark/>
          </w:tcPr>
          <w:p w14:paraId="0519A22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12.94B</w:t>
            </w:r>
          </w:p>
        </w:tc>
        <w:tc>
          <w:tcPr>
            <w:tcW w:w="0" w:type="auto"/>
            <w:shd w:val="clear" w:color="auto" w:fill="FFFFFF"/>
            <w:tcMar>
              <w:top w:w="0" w:type="dxa"/>
              <w:left w:w="0" w:type="dxa"/>
              <w:bottom w:w="0" w:type="dxa"/>
              <w:right w:w="0" w:type="dxa"/>
            </w:tcMar>
            <w:vAlign w:val="center"/>
            <w:hideMark/>
          </w:tcPr>
          <w:p w14:paraId="436FA2B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12.45B</w:t>
            </w:r>
          </w:p>
        </w:tc>
        <w:tc>
          <w:tcPr>
            <w:tcW w:w="0" w:type="auto"/>
            <w:shd w:val="clear" w:color="auto" w:fill="FFFFFF"/>
            <w:tcMar>
              <w:top w:w="0" w:type="dxa"/>
              <w:left w:w="0" w:type="dxa"/>
              <w:bottom w:w="0" w:type="dxa"/>
              <w:right w:w="0" w:type="dxa"/>
            </w:tcMar>
            <w:vAlign w:val="center"/>
            <w:hideMark/>
          </w:tcPr>
          <w:p w14:paraId="2CC3194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50.24B</w:t>
            </w:r>
          </w:p>
        </w:tc>
        <w:tc>
          <w:tcPr>
            <w:tcW w:w="0" w:type="auto"/>
            <w:shd w:val="clear" w:color="auto" w:fill="FFFFFF"/>
            <w:tcMar>
              <w:top w:w="0" w:type="dxa"/>
              <w:left w:w="0" w:type="dxa"/>
              <w:bottom w:w="0" w:type="dxa"/>
              <w:right w:w="0" w:type="dxa"/>
            </w:tcMar>
            <w:vAlign w:val="center"/>
            <w:hideMark/>
          </w:tcPr>
          <w:p w14:paraId="53AEADB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52.44B</w:t>
            </w:r>
          </w:p>
        </w:tc>
      </w:tr>
      <w:tr w:rsidR="004A439D" w:rsidRPr="004A439D" w14:paraId="4E66E17E" w14:textId="77777777" w:rsidTr="004A439D">
        <w:tc>
          <w:tcPr>
            <w:tcW w:w="3914" w:type="dxa"/>
            <w:shd w:val="clear" w:color="auto" w:fill="FFFFFF"/>
            <w:tcMar>
              <w:top w:w="150" w:type="dxa"/>
              <w:left w:w="0" w:type="dxa"/>
              <w:bottom w:w="150" w:type="dxa"/>
              <w:right w:w="0" w:type="dxa"/>
            </w:tcMar>
            <w:vAlign w:val="center"/>
            <w:hideMark/>
          </w:tcPr>
          <w:p w14:paraId="2A62FEF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Low Estimate</w:t>
            </w:r>
          </w:p>
        </w:tc>
        <w:tc>
          <w:tcPr>
            <w:tcW w:w="0" w:type="auto"/>
            <w:shd w:val="clear" w:color="auto" w:fill="FFFFFF"/>
            <w:tcMar>
              <w:top w:w="0" w:type="dxa"/>
              <w:left w:w="0" w:type="dxa"/>
              <w:bottom w:w="0" w:type="dxa"/>
              <w:right w:w="0" w:type="dxa"/>
            </w:tcMar>
            <w:vAlign w:val="center"/>
            <w:hideMark/>
          </w:tcPr>
          <w:p w14:paraId="32DD46E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12.26B</w:t>
            </w:r>
          </w:p>
        </w:tc>
        <w:tc>
          <w:tcPr>
            <w:tcW w:w="0" w:type="auto"/>
            <w:shd w:val="clear" w:color="auto" w:fill="FFFFFF"/>
            <w:tcMar>
              <w:top w:w="0" w:type="dxa"/>
              <w:left w:w="0" w:type="dxa"/>
              <w:bottom w:w="0" w:type="dxa"/>
              <w:right w:w="0" w:type="dxa"/>
            </w:tcMar>
            <w:vAlign w:val="center"/>
            <w:hideMark/>
          </w:tcPr>
          <w:p w14:paraId="6DF572E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11.79B</w:t>
            </w:r>
          </w:p>
        </w:tc>
        <w:tc>
          <w:tcPr>
            <w:tcW w:w="0" w:type="auto"/>
            <w:shd w:val="clear" w:color="auto" w:fill="FFFFFF"/>
            <w:tcMar>
              <w:top w:w="0" w:type="dxa"/>
              <w:left w:w="0" w:type="dxa"/>
              <w:bottom w:w="0" w:type="dxa"/>
              <w:right w:w="0" w:type="dxa"/>
            </w:tcMar>
            <w:vAlign w:val="center"/>
            <w:hideMark/>
          </w:tcPr>
          <w:p w14:paraId="7C457B6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48.6B</w:t>
            </w:r>
          </w:p>
        </w:tc>
        <w:tc>
          <w:tcPr>
            <w:tcW w:w="0" w:type="auto"/>
            <w:shd w:val="clear" w:color="auto" w:fill="FFFFFF"/>
            <w:tcMar>
              <w:top w:w="0" w:type="dxa"/>
              <w:left w:w="0" w:type="dxa"/>
              <w:bottom w:w="0" w:type="dxa"/>
              <w:right w:w="0" w:type="dxa"/>
            </w:tcMar>
            <w:vAlign w:val="center"/>
            <w:hideMark/>
          </w:tcPr>
          <w:p w14:paraId="109C11E3"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50.56B</w:t>
            </w:r>
          </w:p>
        </w:tc>
      </w:tr>
      <w:tr w:rsidR="004A439D" w:rsidRPr="004A439D" w14:paraId="4D5DACAD" w14:textId="77777777" w:rsidTr="004A439D">
        <w:tc>
          <w:tcPr>
            <w:tcW w:w="3914" w:type="dxa"/>
            <w:shd w:val="clear" w:color="auto" w:fill="FFFFFF"/>
            <w:tcMar>
              <w:top w:w="150" w:type="dxa"/>
              <w:left w:w="0" w:type="dxa"/>
              <w:bottom w:w="150" w:type="dxa"/>
              <w:right w:w="0" w:type="dxa"/>
            </w:tcMar>
            <w:vAlign w:val="center"/>
            <w:hideMark/>
          </w:tcPr>
          <w:p w14:paraId="5BE5892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High Estimate</w:t>
            </w:r>
          </w:p>
        </w:tc>
        <w:tc>
          <w:tcPr>
            <w:tcW w:w="0" w:type="auto"/>
            <w:shd w:val="clear" w:color="auto" w:fill="FFFFFF"/>
            <w:tcMar>
              <w:top w:w="0" w:type="dxa"/>
              <w:left w:w="0" w:type="dxa"/>
              <w:bottom w:w="0" w:type="dxa"/>
              <w:right w:w="0" w:type="dxa"/>
            </w:tcMar>
            <w:vAlign w:val="center"/>
            <w:hideMark/>
          </w:tcPr>
          <w:p w14:paraId="0FCC342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13.57B</w:t>
            </w:r>
          </w:p>
        </w:tc>
        <w:tc>
          <w:tcPr>
            <w:tcW w:w="0" w:type="auto"/>
            <w:shd w:val="clear" w:color="auto" w:fill="FFFFFF"/>
            <w:tcMar>
              <w:top w:w="0" w:type="dxa"/>
              <w:left w:w="0" w:type="dxa"/>
              <w:bottom w:w="0" w:type="dxa"/>
              <w:right w:w="0" w:type="dxa"/>
            </w:tcMar>
            <w:vAlign w:val="center"/>
            <w:hideMark/>
          </w:tcPr>
          <w:p w14:paraId="27F892F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12.93B</w:t>
            </w:r>
          </w:p>
        </w:tc>
        <w:tc>
          <w:tcPr>
            <w:tcW w:w="0" w:type="auto"/>
            <w:shd w:val="clear" w:color="auto" w:fill="FFFFFF"/>
            <w:tcMar>
              <w:top w:w="0" w:type="dxa"/>
              <w:left w:w="0" w:type="dxa"/>
              <w:bottom w:w="0" w:type="dxa"/>
              <w:right w:w="0" w:type="dxa"/>
            </w:tcMar>
            <w:vAlign w:val="center"/>
            <w:hideMark/>
          </w:tcPr>
          <w:p w14:paraId="062B7B7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51.97B</w:t>
            </w:r>
          </w:p>
        </w:tc>
        <w:tc>
          <w:tcPr>
            <w:tcW w:w="0" w:type="auto"/>
            <w:shd w:val="clear" w:color="auto" w:fill="FFFFFF"/>
            <w:tcMar>
              <w:top w:w="0" w:type="dxa"/>
              <w:left w:w="0" w:type="dxa"/>
              <w:bottom w:w="0" w:type="dxa"/>
              <w:right w:w="0" w:type="dxa"/>
            </w:tcMar>
            <w:vAlign w:val="center"/>
            <w:hideMark/>
          </w:tcPr>
          <w:p w14:paraId="4D2CDE6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54.58B</w:t>
            </w:r>
          </w:p>
        </w:tc>
      </w:tr>
      <w:tr w:rsidR="004A439D" w:rsidRPr="004A439D" w14:paraId="0E7F8C29" w14:textId="77777777" w:rsidTr="004A439D">
        <w:tc>
          <w:tcPr>
            <w:tcW w:w="3914" w:type="dxa"/>
            <w:shd w:val="clear" w:color="auto" w:fill="FFFFFF"/>
            <w:tcMar>
              <w:top w:w="150" w:type="dxa"/>
              <w:left w:w="0" w:type="dxa"/>
              <w:bottom w:w="150" w:type="dxa"/>
              <w:right w:w="0" w:type="dxa"/>
            </w:tcMar>
            <w:vAlign w:val="center"/>
            <w:hideMark/>
          </w:tcPr>
          <w:p w14:paraId="1DB641B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 xml:space="preserve">Year </w:t>
            </w:r>
            <w:proofErr w:type="gramStart"/>
            <w:r w:rsidRPr="004A439D">
              <w:rPr>
                <w:rFonts w:ascii="Helvetica" w:eastAsia="Times New Roman" w:hAnsi="Helvetica" w:cs="Helvetica"/>
                <w:color w:val="232A31"/>
                <w:kern w:val="0"/>
                <w:sz w:val="20"/>
                <w:szCs w:val="20"/>
                <w:lang w:eastAsia="en-IN"/>
                <w14:ligatures w14:val="none"/>
              </w:rPr>
              <w:t>Ago</w:t>
            </w:r>
            <w:proofErr w:type="gramEnd"/>
            <w:r w:rsidRPr="004A439D">
              <w:rPr>
                <w:rFonts w:ascii="Helvetica" w:eastAsia="Times New Roman" w:hAnsi="Helvetica" w:cs="Helvetica"/>
                <w:color w:val="232A31"/>
                <w:kern w:val="0"/>
                <w:sz w:val="20"/>
                <w:szCs w:val="20"/>
                <w:lang w:eastAsia="en-IN"/>
                <w14:ligatures w14:val="none"/>
              </w:rPr>
              <w:t xml:space="preserve"> Sales</w:t>
            </w:r>
          </w:p>
        </w:tc>
        <w:tc>
          <w:tcPr>
            <w:tcW w:w="0" w:type="auto"/>
            <w:shd w:val="clear" w:color="auto" w:fill="FFFFFF"/>
            <w:tcMar>
              <w:top w:w="0" w:type="dxa"/>
              <w:left w:w="0" w:type="dxa"/>
              <w:bottom w:w="0" w:type="dxa"/>
              <w:right w:w="0" w:type="dxa"/>
            </w:tcMar>
            <w:vAlign w:val="center"/>
            <w:hideMark/>
          </w:tcPr>
          <w:p w14:paraId="7403CD4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12.22B</w:t>
            </w:r>
          </w:p>
        </w:tc>
        <w:tc>
          <w:tcPr>
            <w:tcW w:w="0" w:type="auto"/>
            <w:shd w:val="clear" w:color="auto" w:fill="FFFFFF"/>
            <w:tcMar>
              <w:top w:w="0" w:type="dxa"/>
              <w:left w:w="0" w:type="dxa"/>
              <w:bottom w:w="0" w:type="dxa"/>
              <w:right w:w="0" w:type="dxa"/>
            </w:tcMar>
            <w:vAlign w:val="center"/>
            <w:hideMark/>
          </w:tcPr>
          <w:p w14:paraId="50E7787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10.89B</w:t>
            </w:r>
          </w:p>
        </w:tc>
        <w:tc>
          <w:tcPr>
            <w:tcW w:w="0" w:type="auto"/>
            <w:shd w:val="clear" w:color="auto" w:fill="FFFFFF"/>
            <w:tcMar>
              <w:top w:w="0" w:type="dxa"/>
              <w:left w:w="0" w:type="dxa"/>
              <w:bottom w:w="0" w:type="dxa"/>
              <w:right w:w="0" w:type="dxa"/>
            </w:tcMar>
            <w:vAlign w:val="center"/>
            <w:hideMark/>
          </w:tcPr>
          <w:p w14:paraId="5B05F66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46.25B</w:t>
            </w:r>
          </w:p>
        </w:tc>
        <w:tc>
          <w:tcPr>
            <w:tcW w:w="0" w:type="auto"/>
            <w:shd w:val="clear" w:color="auto" w:fill="FFFFFF"/>
            <w:tcMar>
              <w:top w:w="0" w:type="dxa"/>
              <w:left w:w="0" w:type="dxa"/>
              <w:bottom w:w="0" w:type="dxa"/>
              <w:right w:w="0" w:type="dxa"/>
            </w:tcMar>
            <w:vAlign w:val="center"/>
            <w:hideMark/>
          </w:tcPr>
          <w:p w14:paraId="0ECAA09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50.24B</w:t>
            </w:r>
          </w:p>
        </w:tc>
      </w:tr>
      <w:tr w:rsidR="004A439D" w:rsidRPr="004A439D" w14:paraId="34BA25AA" w14:textId="77777777" w:rsidTr="004A439D">
        <w:tc>
          <w:tcPr>
            <w:tcW w:w="3914" w:type="dxa"/>
            <w:shd w:val="clear" w:color="auto" w:fill="FFFFFF"/>
            <w:tcMar>
              <w:top w:w="150" w:type="dxa"/>
              <w:left w:w="0" w:type="dxa"/>
              <w:bottom w:w="150" w:type="dxa"/>
              <w:right w:w="0" w:type="dxa"/>
            </w:tcMar>
            <w:vAlign w:val="center"/>
            <w:hideMark/>
          </w:tcPr>
          <w:p w14:paraId="4E30C96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Sales Growth (year/</w:t>
            </w:r>
            <w:proofErr w:type="spellStart"/>
            <w:r w:rsidRPr="004A439D">
              <w:rPr>
                <w:rFonts w:ascii="Helvetica" w:eastAsia="Times New Roman" w:hAnsi="Helvetica" w:cs="Helvetica"/>
                <w:color w:val="232A31"/>
                <w:kern w:val="0"/>
                <w:sz w:val="20"/>
                <w:szCs w:val="20"/>
                <w:lang w:eastAsia="en-IN"/>
                <w14:ligatures w14:val="none"/>
              </w:rPr>
              <w:t>est</w:t>
            </w:r>
            <w:proofErr w:type="spellEnd"/>
            <w:r w:rsidRPr="004A439D">
              <w:rPr>
                <w:rFonts w:ascii="Helvetica" w:eastAsia="Times New Roman" w:hAnsi="Helvetica" w:cs="Helvetica"/>
                <w:color w:val="232A31"/>
                <w:kern w:val="0"/>
                <w:sz w:val="20"/>
                <w:szCs w:val="20"/>
                <w:lang w:eastAsia="en-IN"/>
                <w14:ligatures w14:val="none"/>
              </w:rPr>
              <w:t>)</w:t>
            </w:r>
          </w:p>
        </w:tc>
        <w:tc>
          <w:tcPr>
            <w:tcW w:w="0" w:type="auto"/>
            <w:shd w:val="clear" w:color="auto" w:fill="FFFFFF"/>
            <w:tcMar>
              <w:top w:w="0" w:type="dxa"/>
              <w:left w:w="0" w:type="dxa"/>
              <w:bottom w:w="0" w:type="dxa"/>
              <w:right w:w="0" w:type="dxa"/>
            </w:tcMar>
            <w:vAlign w:val="center"/>
            <w:hideMark/>
          </w:tcPr>
          <w:p w14:paraId="40AC2DD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5.90%</w:t>
            </w:r>
          </w:p>
        </w:tc>
        <w:tc>
          <w:tcPr>
            <w:tcW w:w="0" w:type="auto"/>
            <w:shd w:val="clear" w:color="auto" w:fill="FFFFFF"/>
            <w:tcMar>
              <w:top w:w="0" w:type="dxa"/>
              <w:left w:w="0" w:type="dxa"/>
              <w:bottom w:w="0" w:type="dxa"/>
              <w:right w:w="0" w:type="dxa"/>
            </w:tcMar>
            <w:vAlign w:val="center"/>
            <w:hideMark/>
          </w:tcPr>
          <w:p w14:paraId="286789B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14.30%</w:t>
            </w:r>
          </w:p>
        </w:tc>
        <w:tc>
          <w:tcPr>
            <w:tcW w:w="0" w:type="auto"/>
            <w:shd w:val="clear" w:color="auto" w:fill="FFFFFF"/>
            <w:tcMar>
              <w:top w:w="0" w:type="dxa"/>
              <w:left w:w="0" w:type="dxa"/>
              <w:bottom w:w="0" w:type="dxa"/>
              <w:right w:w="0" w:type="dxa"/>
            </w:tcMar>
            <w:vAlign w:val="center"/>
            <w:hideMark/>
          </w:tcPr>
          <w:p w14:paraId="271C026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8.60%</w:t>
            </w:r>
          </w:p>
        </w:tc>
        <w:tc>
          <w:tcPr>
            <w:tcW w:w="0" w:type="auto"/>
            <w:shd w:val="clear" w:color="auto" w:fill="FFFFFF"/>
            <w:tcMar>
              <w:top w:w="0" w:type="dxa"/>
              <w:left w:w="0" w:type="dxa"/>
              <w:bottom w:w="0" w:type="dxa"/>
              <w:right w:w="0" w:type="dxa"/>
            </w:tcMar>
            <w:vAlign w:val="center"/>
            <w:hideMark/>
          </w:tcPr>
          <w:p w14:paraId="78962FF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4.40%</w:t>
            </w:r>
          </w:p>
        </w:tc>
      </w:tr>
    </w:tbl>
    <w:p w14:paraId="6443C100" w14:textId="77777777" w:rsidR="004A439D" w:rsidRPr="004A439D" w:rsidRDefault="004A439D" w:rsidP="004A439D">
      <w:pPr>
        <w:spacing w:after="0" w:line="240" w:lineRule="auto"/>
        <w:jc w:val="center"/>
        <w:rPr>
          <w:rFonts w:ascii="Times New Roman" w:eastAsia="Times New Roman" w:hAnsi="Times New Roman" w:cs="Times New Roman"/>
          <w:vanish/>
          <w:kern w:val="0"/>
          <w:sz w:val="24"/>
          <w:szCs w:val="24"/>
          <w:lang w:eastAsia="en-IN"/>
          <w14:ligatures w14:val="none"/>
        </w:rPr>
      </w:pPr>
    </w:p>
    <w:tbl>
      <w:tblPr>
        <w:tblW w:w="14474" w:type="dxa"/>
        <w:tblInd w:w="-1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14"/>
        <w:gridCol w:w="2640"/>
        <w:gridCol w:w="2640"/>
        <w:gridCol w:w="2640"/>
        <w:gridCol w:w="2640"/>
      </w:tblGrid>
      <w:tr w:rsidR="004A439D" w:rsidRPr="004A439D" w14:paraId="01C683C7" w14:textId="77777777" w:rsidTr="004A439D">
        <w:trPr>
          <w:tblHeader/>
        </w:trPr>
        <w:tc>
          <w:tcPr>
            <w:tcW w:w="3914" w:type="dxa"/>
            <w:shd w:val="clear" w:color="auto" w:fill="FFFFFF"/>
            <w:tcMar>
              <w:top w:w="150" w:type="dxa"/>
              <w:left w:w="0" w:type="dxa"/>
              <w:bottom w:w="150" w:type="dxa"/>
              <w:right w:w="0" w:type="dxa"/>
            </w:tcMar>
            <w:vAlign w:val="center"/>
            <w:hideMark/>
          </w:tcPr>
          <w:p w14:paraId="164FF977" w14:textId="77777777" w:rsidR="004A439D" w:rsidRPr="004A439D" w:rsidRDefault="004A439D" w:rsidP="004A439D">
            <w:pPr>
              <w:spacing w:after="375" w:line="240" w:lineRule="auto"/>
              <w:jc w:val="center"/>
              <w:rPr>
                <w:rFonts w:ascii="Helvetica" w:eastAsia="Times New Roman" w:hAnsi="Helvetica" w:cs="Helvetica"/>
                <w:b/>
                <w:bCs/>
                <w:color w:val="232A31"/>
                <w:kern w:val="0"/>
                <w:sz w:val="20"/>
                <w:szCs w:val="20"/>
                <w:lang w:eastAsia="en-IN"/>
                <w14:ligatures w14:val="none"/>
              </w:rPr>
            </w:pPr>
            <w:r w:rsidRPr="004A439D">
              <w:rPr>
                <w:rFonts w:ascii="Helvetica" w:eastAsia="Times New Roman" w:hAnsi="Helvetica" w:cs="Helvetica"/>
                <w:b/>
                <w:bCs/>
                <w:color w:val="232A31"/>
                <w:kern w:val="0"/>
                <w:sz w:val="20"/>
                <w:szCs w:val="20"/>
                <w:lang w:eastAsia="en-IN"/>
                <w14:ligatures w14:val="none"/>
              </w:rPr>
              <w:t>Earnings History</w:t>
            </w:r>
          </w:p>
        </w:tc>
        <w:tc>
          <w:tcPr>
            <w:tcW w:w="2640" w:type="dxa"/>
            <w:shd w:val="clear" w:color="auto" w:fill="FFFFFF"/>
            <w:tcMar>
              <w:top w:w="0" w:type="dxa"/>
              <w:left w:w="0" w:type="dxa"/>
              <w:bottom w:w="0" w:type="dxa"/>
              <w:right w:w="0" w:type="dxa"/>
            </w:tcMar>
            <w:vAlign w:val="center"/>
            <w:hideMark/>
          </w:tcPr>
          <w:p w14:paraId="1522034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3/30/2023</w:t>
            </w:r>
          </w:p>
        </w:tc>
        <w:tc>
          <w:tcPr>
            <w:tcW w:w="2640" w:type="dxa"/>
            <w:shd w:val="clear" w:color="auto" w:fill="FFFFFF"/>
            <w:tcMar>
              <w:top w:w="0" w:type="dxa"/>
              <w:left w:w="0" w:type="dxa"/>
              <w:bottom w:w="0" w:type="dxa"/>
              <w:right w:w="0" w:type="dxa"/>
            </w:tcMar>
            <w:vAlign w:val="center"/>
            <w:hideMark/>
          </w:tcPr>
          <w:p w14:paraId="54E390D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6/29/2023</w:t>
            </w:r>
          </w:p>
        </w:tc>
        <w:tc>
          <w:tcPr>
            <w:tcW w:w="2640" w:type="dxa"/>
            <w:shd w:val="clear" w:color="auto" w:fill="FFFFFF"/>
            <w:tcMar>
              <w:top w:w="0" w:type="dxa"/>
              <w:left w:w="0" w:type="dxa"/>
              <w:bottom w:w="0" w:type="dxa"/>
              <w:right w:w="0" w:type="dxa"/>
            </w:tcMar>
            <w:vAlign w:val="center"/>
            <w:hideMark/>
          </w:tcPr>
          <w:p w14:paraId="3938FCE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9/29/2023</w:t>
            </w:r>
          </w:p>
        </w:tc>
        <w:tc>
          <w:tcPr>
            <w:tcW w:w="2640" w:type="dxa"/>
            <w:shd w:val="clear" w:color="auto" w:fill="FFFFFF"/>
            <w:tcMar>
              <w:top w:w="0" w:type="dxa"/>
              <w:left w:w="0" w:type="dxa"/>
              <w:bottom w:w="0" w:type="dxa"/>
              <w:right w:w="0" w:type="dxa"/>
            </w:tcMar>
            <w:vAlign w:val="center"/>
            <w:hideMark/>
          </w:tcPr>
          <w:p w14:paraId="5A4AC72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12/30/2023</w:t>
            </w:r>
          </w:p>
        </w:tc>
      </w:tr>
      <w:tr w:rsidR="004A439D" w:rsidRPr="004A439D" w14:paraId="09817BAC" w14:textId="77777777" w:rsidTr="004A439D">
        <w:tc>
          <w:tcPr>
            <w:tcW w:w="3914" w:type="dxa"/>
            <w:shd w:val="clear" w:color="auto" w:fill="FFFFFF"/>
            <w:tcMar>
              <w:top w:w="150" w:type="dxa"/>
              <w:left w:w="0" w:type="dxa"/>
              <w:bottom w:w="150" w:type="dxa"/>
              <w:right w:w="0" w:type="dxa"/>
            </w:tcMar>
            <w:vAlign w:val="center"/>
            <w:hideMark/>
          </w:tcPr>
          <w:p w14:paraId="37BA18A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EPS Est.</w:t>
            </w:r>
          </w:p>
        </w:tc>
        <w:tc>
          <w:tcPr>
            <w:tcW w:w="0" w:type="auto"/>
            <w:shd w:val="clear" w:color="auto" w:fill="FFFFFF"/>
            <w:tcMar>
              <w:top w:w="0" w:type="dxa"/>
              <w:left w:w="0" w:type="dxa"/>
              <w:bottom w:w="0" w:type="dxa"/>
              <w:right w:w="0" w:type="dxa"/>
            </w:tcMar>
            <w:vAlign w:val="center"/>
            <w:hideMark/>
          </w:tcPr>
          <w:p w14:paraId="79506A5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8.1</w:t>
            </w:r>
          </w:p>
        </w:tc>
        <w:tc>
          <w:tcPr>
            <w:tcW w:w="0" w:type="auto"/>
            <w:shd w:val="clear" w:color="auto" w:fill="FFFFFF"/>
            <w:tcMar>
              <w:top w:w="0" w:type="dxa"/>
              <w:left w:w="0" w:type="dxa"/>
              <w:bottom w:w="0" w:type="dxa"/>
              <w:right w:w="0" w:type="dxa"/>
            </w:tcMar>
            <w:vAlign w:val="center"/>
            <w:hideMark/>
          </w:tcPr>
          <w:p w14:paraId="1D0CEB9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3.18</w:t>
            </w:r>
          </w:p>
        </w:tc>
        <w:tc>
          <w:tcPr>
            <w:tcW w:w="0" w:type="auto"/>
            <w:shd w:val="clear" w:color="auto" w:fill="FFFFFF"/>
            <w:tcMar>
              <w:top w:w="0" w:type="dxa"/>
              <w:left w:w="0" w:type="dxa"/>
              <w:bottom w:w="0" w:type="dxa"/>
              <w:right w:w="0" w:type="dxa"/>
            </w:tcMar>
            <w:vAlign w:val="center"/>
            <w:hideMark/>
          </w:tcPr>
          <w:p w14:paraId="13B5F0A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5.31</w:t>
            </w:r>
          </w:p>
        </w:tc>
        <w:tc>
          <w:tcPr>
            <w:tcW w:w="0" w:type="auto"/>
            <w:shd w:val="clear" w:color="auto" w:fill="FFFFFF"/>
            <w:tcMar>
              <w:top w:w="0" w:type="dxa"/>
              <w:left w:w="0" w:type="dxa"/>
              <w:bottom w:w="0" w:type="dxa"/>
              <w:right w:w="0" w:type="dxa"/>
            </w:tcMar>
            <w:vAlign w:val="center"/>
            <w:hideMark/>
          </w:tcPr>
          <w:p w14:paraId="45DEA58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3.51</w:t>
            </w:r>
          </w:p>
        </w:tc>
      </w:tr>
      <w:tr w:rsidR="004A439D" w:rsidRPr="004A439D" w14:paraId="600A2E1F" w14:textId="77777777" w:rsidTr="004A439D">
        <w:tc>
          <w:tcPr>
            <w:tcW w:w="3914" w:type="dxa"/>
            <w:shd w:val="clear" w:color="auto" w:fill="FFFFFF"/>
            <w:tcMar>
              <w:top w:w="150" w:type="dxa"/>
              <w:left w:w="0" w:type="dxa"/>
              <w:bottom w:w="150" w:type="dxa"/>
              <w:right w:w="0" w:type="dxa"/>
            </w:tcMar>
            <w:vAlign w:val="center"/>
            <w:hideMark/>
          </w:tcPr>
          <w:p w14:paraId="4772357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EPS Actual</w:t>
            </w:r>
          </w:p>
        </w:tc>
        <w:tc>
          <w:tcPr>
            <w:tcW w:w="0" w:type="auto"/>
            <w:shd w:val="clear" w:color="auto" w:fill="FFFFFF"/>
            <w:tcMar>
              <w:top w:w="0" w:type="dxa"/>
              <w:left w:w="0" w:type="dxa"/>
              <w:bottom w:w="0" w:type="dxa"/>
              <w:right w:w="0" w:type="dxa"/>
            </w:tcMar>
            <w:vAlign w:val="center"/>
            <w:hideMark/>
          </w:tcPr>
          <w:p w14:paraId="037A417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8.79</w:t>
            </w:r>
          </w:p>
        </w:tc>
        <w:tc>
          <w:tcPr>
            <w:tcW w:w="0" w:type="auto"/>
            <w:shd w:val="clear" w:color="auto" w:fill="FFFFFF"/>
            <w:tcMar>
              <w:top w:w="0" w:type="dxa"/>
              <w:left w:w="0" w:type="dxa"/>
              <w:bottom w:w="0" w:type="dxa"/>
              <w:right w:w="0" w:type="dxa"/>
            </w:tcMar>
            <w:vAlign w:val="center"/>
            <w:hideMark/>
          </w:tcPr>
          <w:p w14:paraId="042D67C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3.08</w:t>
            </w:r>
          </w:p>
        </w:tc>
        <w:tc>
          <w:tcPr>
            <w:tcW w:w="0" w:type="auto"/>
            <w:shd w:val="clear" w:color="auto" w:fill="FFFFFF"/>
            <w:tcMar>
              <w:top w:w="0" w:type="dxa"/>
              <w:left w:w="0" w:type="dxa"/>
              <w:bottom w:w="0" w:type="dxa"/>
              <w:right w:w="0" w:type="dxa"/>
            </w:tcMar>
            <w:vAlign w:val="center"/>
            <w:hideMark/>
          </w:tcPr>
          <w:p w14:paraId="5CF28A4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5.47</w:t>
            </w:r>
          </w:p>
        </w:tc>
        <w:tc>
          <w:tcPr>
            <w:tcW w:w="0" w:type="auto"/>
            <w:shd w:val="clear" w:color="auto" w:fill="FFFFFF"/>
            <w:tcMar>
              <w:top w:w="0" w:type="dxa"/>
              <w:left w:w="0" w:type="dxa"/>
              <w:bottom w:w="0" w:type="dxa"/>
              <w:right w:w="0" w:type="dxa"/>
            </w:tcMar>
            <w:vAlign w:val="center"/>
            <w:hideMark/>
          </w:tcPr>
          <w:p w14:paraId="5FAF382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5.48</w:t>
            </w:r>
          </w:p>
        </w:tc>
      </w:tr>
      <w:tr w:rsidR="004A439D" w:rsidRPr="004A439D" w14:paraId="2520B63D" w14:textId="77777777" w:rsidTr="004A439D">
        <w:tc>
          <w:tcPr>
            <w:tcW w:w="3914" w:type="dxa"/>
            <w:shd w:val="clear" w:color="auto" w:fill="FFFFFF"/>
            <w:tcMar>
              <w:top w:w="150" w:type="dxa"/>
              <w:left w:w="0" w:type="dxa"/>
              <w:bottom w:w="150" w:type="dxa"/>
              <w:right w:w="0" w:type="dxa"/>
            </w:tcMar>
            <w:vAlign w:val="center"/>
            <w:hideMark/>
          </w:tcPr>
          <w:p w14:paraId="0198421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Difference</w:t>
            </w:r>
          </w:p>
        </w:tc>
        <w:tc>
          <w:tcPr>
            <w:tcW w:w="0" w:type="auto"/>
            <w:shd w:val="clear" w:color="auto" w:fill="FFFFFF"/>
            <w:tcMar>
              <w:top w:w="0" w:type="dxa"/>
              <w:left w:w="0" w:type="dxa"/>
              <w:bottom w:w="0" w:type="dxa"/>
              <w:right w:w="0" w:type="dxa"/>
            </w:tcMar>
            <w:vAlign w:val="center"/>
            <w:hideMark/>
          </w:tcPr>
          <w:p w14:paraId="492B41B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0.69</w:t>
            </w:r>
          </w:p>
        </w:tc>
        <w:tc>
          <w:tcPr>
            <w:tcW w:w="0" w:type="auto"/>
            <w:shd w:val="clear" w:color="auto" w:fill="FFFFFF"/>
            <w:tcMar>
              <w:top w:w="0" w:type="dxa"/>
              <w:left w:w="0" w:type="dxa"/>
              <w:bottom w:w="0" w:type="dxa"/>
              <w:right w:w="0" w:type="dxa"/>
            </w:tcMar>
            <w:vAlign w:val="center"/>
            <w:hideMark/>
          </w:tcPr>
          <w:p w14:paraId="1B85FF6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-0.1</w:t>
            </w:r>
          </w:p>
        </w:tc>
        <w:tc>
          <w:tcPr>
            <w:tcW w:w="0" w:type="auto"/>
            <w:shd w:val="clear" w:color="auto" w:fill="FFFFFF"/>
            <w:tcMar>
              <w:top w:w="0" w:type="dxa"/>
              <w:left w:w="0" w:type="dxa"/>
              <w:bottom w:w="0" w:type="dxa"/>
              <w:right w:w="0" w:type="dxa"/>
            </w:tcMar>
            <w:vAlign w:val="center"/>
            <w:hideMark/>
          </w:tcPr>
          <w:p w14:paraId="7EA2D3A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0.16</w:t>
            </w:r>
          </w:p>
        </w:tc>
        <w:tc>
          <w:tcPr>
            <w:tcW w:w="0" w:type="auto"/>
            <w:shd w:val="clear" w:color="auto" w:fill="FFFFFF"/>
            <w:tcMar>
              <w:top w:w="0" w:type="dxa"/>
              <w:left w:w="0" w:type="dxa"/>
              <w:bottom w:w="0" w:type="dxa"/>
              <w:right w:w="0" w:type="dxa"/>
            </w:tcMar>
            <w:vAlign w:val="center"/>
            <w:hideMark/>
          </w:tcPr>
          <w:p w14:paraId="479E75F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1.97</w:t>
            </w:r>
          </w:p>
        </w:tc>
      </w:tr>
      <w:tr w:rsidR="004A439D" w:rsidRPr="004A439D" w14:paraId="1ACF696C" w14:textId="77777777" w:rsidTr="004A439D">
        <w:tc>
          <w:tcPr>
            <w:tcW w:w="3914" w:type="dxa"/>
            <w:shd w:val="clear" w:color="auto" w:fill="FFFFFF"/>
            <w:tcMar>
              <w:top w:w="150" w:type="dxa"/>
              <w:left w:w="0" w:type="dxa"/>
              <w:bottom w:w="150" w:type="dxa"/>
              <w:right w:w="0" w:type="dxa"/>
            </w:tcMar>
            <w:vAlign w:val="center"/>
            <w:hideMark/>
          </w:tcPr>
          <w:p w14:paraId="72FC016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Surprise %</w:t>
            </w:r>
          </w:p>
        </w:tc>
        <w:tc>
          <w:tcPr>
            <w:tcW w:w="0" w:type="auto"/>
            <w:shd w:val="clear" w:color="auto" w:fill="FFFFFF"/>
            <w:tcMar>
              <w:top w:w="0" w:type="dxa"/>
              <w:left w:w="0" w:type="dxa"/>
              <w:bottom w:w="0" w:type="dxa"/>
              <w:right w:w="0" w:type="dxa"/>
            </w:tcMar>
            <w:vAlign w:val="center"/>
            <w:hideMark/>
          </w:tcPr>
          <w:p w14:paraId="48CE8B9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8.50%</w:t>
            </w:r>
          </w:p>
        </w:tc>
        <w:tc>
          <w:tcPr>
            <w:tcW w:w="0" w:type="auto"/>
            <w:shd w:val="clear" w:color="auto" w:fill="FFFFFF"/>
            <w:tcMar>
              <w:top w:w="0" w:type="dxa"/>
              <w:left w:w="0" w:type="dxa"/>
              <w:bottom w:w="0" w:type="dxa"/>
              <w:right w:w="0" w:type="dxa"/>
            </w:tcMar>
            <w:vAlign w:val="center"/>
            <w:hideMark/>
          </w:tcPr>
          <w:p w14:paraId="36CDB1C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-3.10%</w:t>
            </w:r>
          </w:p>
        </w:tc>
        <w:tc>
          <w:tcPr>
            <w:tcW w:w="0" w:type="auto"/>
            <w:shd w:val="clear" w:color="auto" w:fill="FFFFFF"/>
            <w:tcMar>
              <w:top w:w="0" w:type="dxa"/>
              <w:left w:w="0" w:type="dxa"/>
              <w:bottom w:w="0" w:type="dxa"/>
              <w:right w:w="0" w:type="dxa"/>
            </w:tcMar>
            <w:vAlign w:val="center"/>
            <w:hideMark/>
          </w:tcPr>
          <w:p w14:paraId="0C296F7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3.00%</w:t>
            </w:r>
          </w:p>
        </w:tc>
        <w:tc>
          <w:tcPr>
            <w:tcW w:w="0" w:type="auto"/>
            <w:shd w:val="clear" w:color="auto" w:fill="FFFFFF"/>
            <w:tcMar>
              <w:top w:w="0" w:type="dxa"/>
              <w:left w:w="0" w:type="dxa"/>
              <w:bottom w:w="0" w:type="dxa"/>
              <w:right w:w="0" w:type="dxa"/>
            </w:tcMar>
            <w:vAlign w:val="center"/>
            <w:hideMark/>
          </w:tcPr>
          <w:p w14:paraId="2CA6EC9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56.10%</w:t>
            </w:r>
          </w:p>
        </w:tc>
      </w:tr>
    </w:tbl>
    <w:p w14:paraId="220C24C9" w14:textId="77777777" w:rsidR="004A439D" w:rsidRPr="004A439D" w:rsidRDefault="004A439D" w:rsidP="004A439D">
      <w:pPr>
        <w:spacing w:after="0" w:line="240" w:lineRule="auto"/>
        <w:jc w:val="center"/>
        <w:rPr>
          <w:rFonts w:ascii="Times New Roman" w:eastAsia="Times New Roman" w:hAnsi="Times New Roman" w:cs="Times New Roman"/>
          <w:vanish/>
          <w:kern w:val="0"/>
          <w:sz w:val="24"/>
          <w:szCs w:val="24"/>
          <w:lang w:eastAsia="en-IN"/>
          <w14:ligatures w14:val="none"/>
        </w:rPr>
      </w:pPr>
    </w:p>
    <w:tbl>
      <w:tblPr>
        <w:tblW w:w="14758" w:type="dxa"/>
        <w:tblInd w:w="-1563" w:type="dxa"/>
        <w:tblBorders>
          <w:top w:val="single" w:sz="2" w:space="0" w:color="auto"/>
          <w:left w:val="single" w:sz="2" w:space="0" w:color="auto"/>
          <w:bottom w:val="single" w:sz="6"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2640"/>
        <w:gridCol w:w="2640"/>
        <w:gridCol w:w="2640"/>
        <w:gridCol w:w="2640"/>
      </w:tblGrid>
      <w:tr w:rsidR="004A439D" w:rsidRPr="004A439D" w14:paraId="5A44E4F2" w14:textId="77777777" w:rsidTr="004A439D">
        <w:trPr>
          <w:tblHeader/>
        </w:trPr>
        <w:tc>
          <w:tcPr>
            <w:tcW w:w="4198" w:type="dxa"/>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0" w:type="dxa"/>
            </w:tcMar>
            <w:vAlign w:val="center"/>
            <w:hideMark/>
          </w:tcPr>
          <w:p w14:paraId="46EBF09C" w14:textId="77777777" w:rsidR="004A439D" w:rsidRPr="004A439D" w:rsidRDefault="004A439D" w:rsidP="004A439D">
            <w:pPr>
              <w:spacing w:after="375" w:line="240" w:lineRule="auto"/>
              <w:jc w:val="center"/>
              <w:rPr>
                <w:rFonts w:ascii="Helvetica" w:eastAsia="Times New Roman" w:hAnsi="Helvetica" w:cs="Helvetica"/>
                <w:b/>
                <w:bCs/>
                <w:color w:val="232A31"/>
                <w:kern w:val="0"/>
                <w:sz w:val="20"/>
                <w:szCs w:val="20"/>
                <w:lang w:eastAsia="en-IN"/>
                <w14:ligatures w14:val="none"/>
              </w:rPr>
            </w:pPr>
            <w:r w:rsidRPr="004A439D">
              <w:rPr>
                <w:rFonts w:ascii="Helvetica" w:eastAsia="Times New Roman" w:hAnsi="Helvetica" w:cs="Helvetica"/>
                <w:b/>
                <w:bCs/>
                <w:color w:val="232A31"/>
                <w:kern w:val="0"/>
                <w:sz w:val="20"/>
                <w:szCs w:val="20"/>
                <w:lang w:eastAsia="en-IN"/>
                <w14:ligatures w14:val="none"/>
              </w:rPr>
              <w:lastRenderedPageBreak/>
              <w:t>EPS Trend</w:t>
            </w:r>
          </w:p>
        </w:tc>
        <w:tc>
          <w:tcPr>
            <w:tcW w:w="26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47A765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Qtr. (Mar 2024)</w:t>
            </w:r>
          </w:p>
        </w:tc>
        <w:tc>
          <w:tcPr>
            <w:tcW w:w="26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91B20D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Qtr. (Jun 2024)</w:t>
            </w:r>
          </w:p>
        </w:tc>
        <w:tc>
          <w:tcPr>
            <w:tcW w:w="264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0C73F7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Year (2024)</w:t>
            </w:r>
          </w:p>
        </w:tc>
        <w:tc>
          <w:tcPr>
            <w:tcW w:w="2640" w:type="dxa"/>
            <w:tcBorders>
              <w:left w:val="single" w:sz="4" w:space="0" w:color="auto"/>
            </w:tcBorders>
            <w:shd w:val="clear" w:color="auto" w:fill="FFFFFF"/>
            <w:tcMar>
              <w:top w:w="0" w:type="dxa"/>
              <w:left w:w="0" w:type="dxa"/>
              <w:bottom w:w="0" w:type="dxa"/>
              <w:right w:w="0" w:type="dxa"/>
            </w:tcMar>
            <w:vAlign w:val="center"/>
            <w:hideMark/>
          </w:tcPr>
          <w:p w14:paraId="66DA283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Year (2025)</w:t>
            </w:r>
          </w:p>
        </w:tc>
      </w:tr>
      <w:tr w:rsidR="004A439D" w:rsidRPr="004A439D" w14:paraId="5A6F2268" w14:textId="77777777" w:rsidTr="004A439D">
        <w:tc>
          <w:tcPr>
            <w:tcW w:w="4198" w:type="dxa"/>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0" w:type="dxa"/>
            </w:tcMar>
            <w:vAlign w:val="center"/>
            <w:hideMark/>
          </w:tcPr>
          <w:p w14:paraId="20100F8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Estimate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32F777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F06110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6C71CD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33.83</w:t>
            </w:r>
          </w:p>
        </w:tc>
        <w:tc>
          <w:tcPr>
            <w:tcW w:w="0" w:type="auto"/>
            <w:tcBorders>
              <w:left w:val="single" w:sz="4" w:space="0" w:color="auto"/>
            </w:tcBorders>
            <w:shd w:val="clear" w:color="auto" w:fill="FFFFFF"/>
            <w:tcMar>
              <w:top w:w="0" w:type="dxa"/>
              <w:left w:w="0" w:type="dxa"/>
              <w:bottom w:w="0" w:type="dxa"/>
              <w:right w:w="0" w:type="dxa"/>
            </w:tcMar>
            <w:vAlign w:val="center"/>
            <w:hideMark/>
          </w:tcPr>
          <w:p w14:paraId="2FAB51D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38.99</w:t>
            </w:r>
          </w:p>
        </w:tc>
      </w:tr>
      <w:tr w:rsidR="004A439D" w:rsidRPr="004A439D" w14:paraId="2512AF88" w14:textId="77777777" w:rsidTr="004A439D">
        <w:tc>
          <w:tcPr>
            <w:tcW w:w="4198" w:type="dxa"/>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0" w:type="dxa"/>
            </w:tcMar>
            <w:vAlign w:val="center"/>
            <w:hideMark/>
          </w:tcPr>
          <w:p w14:paraId="7487DB4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 xml:space="preserve">7 Days </w:t>
            </w:r>
            <w:proofErr w:type="gramStart"/>
            <w:r w:rsidRPr="004A439D">
              <w:rPr>
                <w:rFonts w:ascii="Helvetica" w:eastAsia="Times New Roman" w:hAnsi="Helvetica" w:cs="Helvetica"/>
                <w:color w:val="232A31"/>
                <w:kern w:val="0"/>
                <w:sz w:val="20"/>
                <w:szCs w:val="20"/>
                <w:lang w:eastAsia="en-IN"/>
                <w14:ligatures w14:val="none"/>
              </w:rPr>
              <w:t>Ago</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AF50BE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8.82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5D6DC0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8.32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EC5134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33.98</w:t>
            </w:r>
          </w:p>
        </w:tc>
        <w:tc>
          <w:tcPr>
            <w:tcW w:w="0" w:type="auto"/>
            <w:tcBorders>
              <w:left w:val="single" w:sz="4" w:space="0" w:color="auto"/>
            </w:tcBorders>
            <w:shd w:val="clear" w:color="auto" w:fill="FFFFFF"/>
            <w:tcMar>
              <w:top w:w="0" w:type="dxa"/>
              <w:left w:w="0" w:type="dxa"/>
              <w:bottom w:w="0" w:type="dxa"/>
              <w:right w:w="0" w:type="dxa"/>
            </w:tcMar>
            <w:vAlign w:val="center"/>
            <w:hideMark/>
          </w:tcPr>
          <w:p w14:paraId="4982415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39</w:t>
            </w:r>
          </w:p>
        </w:tc>
      </w:tr>
      <w:tr w:rsidR="004A439D" w:rsidRPr="004A439D" w14:paraId="5CFF6428" w14:textId="77777777" w:rsidTr="004A439D">
        <w:tc>
          <w:tcPr>
            <w:tcW w:w="4198" w:type="dxa"/>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0" w:type="dxa"/>
            </w:tcMar>
            <w:vAlign w:val="center"/>
            <w:hideMark/>
          </w:tcPr>
          <w:p w14:paraId="58E4BBF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 xml:space="preserve">30 Days </w:t>
            </w:r>
            <w:proofErr w:type="gramStart"/>
            <w:r w:rsidRPr="004A439D">
              <w:rPr>
                <w:rFonts w:ascii="Helvetica" w:eastAsia="Times New Roman" w:hAnsi="Helvetica" w:cs="Helvetica"/>
                <w:color w:val="232A31"/>
                <w:kern w:val="0"/>
                <w:sz w:val="20"/>
                <w:szCs w:val="20"/>
                <w:lang w:eastAsia="en-IN"/>
                <w14:ligatures w14:val="none"/>
              </w:rPr>
              <w:t>Ago</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A0BB81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8.83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EA3120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8.21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0F7095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33.93</w:t>
            </w:r>
          </w:p>
        </w:tc>
        <w:tc>
          <w:tcPr>
            <w:tcW w:w="0" w:type="auto"/>
            <w:tcBorders>
              <w:left w:val="single" w:sz="4" w:space="0" w:color="auto"/>
            </w:tcBorders>
            <w:shd w:val="clear" w:color="auto" w:fill="FFFFFF"/>
            <w:tcMar>
              <w:top w:w="0" w:type="dxa"/>
              <w:left w:w="0" w:type="dxa"/>
              <w:bottom w:w="0" w:type="dxa"/>
              <w:right w:w="0" w:type="dxa"/>
            </w:tcMar>
            <w:vAlign w:val="center"/>
            <w:hideMark/>
          </w:tcPr>
          <w:p w14:paraId="402EC31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39.02</w:t>
            </w:r>
          </w:p>
        </w:tc>
      </w:tr>
      <w:tr w:rsidR="004A439D" w:rsidRPr="004A439D" w14:paraId="73DD5651" w14:textId="77777777" w:rsidTr="004A439D">
        <w:tc>
          <w:tcPr>
            <w:tcW w:w="4198" w:type="dxa"/>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0" w:type="dxa"/>
            </w:tcMar>
            <w:vAlign w:val="center"/>
            <w:hideMark/>
          </w:tcPr>
          <w:p w14:paraId="4CB236B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 xml:space="preserve">60 Days </w:t>
            </w:r>
            <w:proofErr w:type="gramStart"/>
            <w:r w:rsidRPr="004A439D">
              <w:rPr>
                <w:rFonts w:ascii="Helvetica" w:eastAsia="Times New Roman" w:hAnsi="Helvetica" w:cs="Helvetica"/>
                <w:color w:val="232A31"/>
                <w:kern w:val="0"/>
                <w:sz w:val="20"/>
                <w:szCs w:val="20"/>
                <w:lang w:eastAsia="en-IN"/>
                <w14:ligatures w14:val="none"/>
              </w:rPr>
              <w:t>Ago</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E9B85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8.83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0519B6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8.21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5C28D83"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33.95</w:t>
            </w:r>
          </w:p>
        </w:tc>
        <w:tc>
          <w:tcPr>
            <w:tcW w:w="0" w:type="auto"/>
            <w:tcBorders>
              <w:left w:val="single" w:sz="4" w:space="0" w:color="auto"/>
            </w:tcBorders>
            <w:shd w:val="clear" w:color="auto" w:fill="FFFFFF"/>
            <w:tcMar>
              <w:top w:w="0" w:type="dxa"/>
              <w:left w:w="0" w:type="dxa"/>
              <w:bottom w:w="0" w:type="dxa"/>
              <w:right w:w="0" w:type="dxa"/>
            </w:tcMar>
            <w:vAlign w:val="center"/>
            <w:hideMark/>
          </w:tcPr>
          <w:p w14:paraId="23BBBA0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39.06</w:t>
            </w:r>
          </w:p>
        </w:tc>
      </w:tr>
      <w:tr w:rsidR="004A439D" w:rsidRPr="004A439D" w14:paraId="572BB351" w14:textId="77777777" w:rsidTr="004A439D">
        <w:tc>
          <w:tcPr>
            <w:tcW w:w="4198" w:type="dxa"/>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0" w:type="dxa"/>
            </w:tcMar>
            <w:vAlign w:val="center"/>
            <w:hideMark/>
          </w:tcPr>
          <w:p w14:paraId="0D455A3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 xml:space="preserve">90 Days </w:t>
            </w:r>
            <w:proofErr w:type="gramStart"/>
            <w:r w:rsidRPr="004A439D">
              <w:rPr>
                <w:rFonts w:ascii="Helvetica" w:eastAsia="Times New Roman" w:hAnsi="Helvetica" w:cs="Helvetica"/>
                <w:color w:val="232A31"/>
                <w:kern w:val="0"/>
                <w:sz w:val="20"/>
                <w:szCs w:val="20"/>
                <w:lang w:eastAsia="en-IN"/>
                <w14:ligatures w14:val="none"/>
              </w:rPr>
              <w:t>Ago</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8A29BF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9.14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1461E1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8.39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9FDE7A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34.34</w:t>
            </w:r>
          </w:p>
        </w:tc>
        <w:tc>
          <w:tcPr>
            <w:tcW w:w="0" w:type="auto"/>
            <w:tcBorders>
              <w:left w:val="single" w:sz="4" w:space="0" w:color="auto"/>
            </w:tcBorders>
            <w:shd w:val="clear" w:color="auto" w:fill="FFFFFF"/>
            <w:tcMar>
              <w:top w:w="0" w:type="dxa"/>
              <w:left w:w="0" w:type="dxa"/>
              <w:bottom w:w="0" w:type="dxa"/>
              <w:right w:w="0" w:type="dxa"/>
            </w:tcMar>
            <w:vAlign w:val="center"/>
            <w:hideMark/>
          </w:tcPr>
          <w:p w14:paraId="6CAD809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39.35</w:t>
            </w:r>
          </w:p>
        </w:tc>
      </w:tr>
    </w:tbl>
    <w:p w14:paraId="428B11C1" w14:textId="77777777" w:rsidR="004A439D" w:rsidRPr="004A439D" w:rsidRDefault="004A439D" w:rsidP="004A439D">
      <w:pPr>
        <w:spacing w:after="0" w:line="240" w:lineRule="auto"/>
        <w:jc w:val="center"/>
        <w:rPr>
          <w:rFonts w:ascii="Times New Roman" w:eastAsia="Times New Roman" w:hAnsi="Times New Roman" w:cs="Times New Roman"/>
          <w:vanish/>
          <w:kern w:val="0"/>
          <w:sz w:val="24"/>
          <w:szCs w:val="24"/>
          <w:lang w:eastAsia="en-IN"/>
          <w14:ligatures w14:val="none"/>
        </w:rPr>
      </w:pPr>
    </w:p>
    <w:tbl>
      <w:tblPr>
        <w:tblW w:w="14758" w:type="dxa"/>
        <w:tblInd w:w="-1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2640"/>
        <w:gridCol w:w="2640"/>
        <w:gridCol w:w="2640"/>
        <w:gridCol w:w="2640"/>
      </w:tblGrid>
      <w:tr w:rsidR="004A439D" w:rsidRPr="004A439D" w14:paraId="14151EE5" w14:textId="77777777" w:rsidTr="004A439D">
        <w:trPr>
          <w:tblHeader/>
        </w:trPr>
        <w:tc>
          <w:tcPr>
            <w:tcW w:w="4198" w:type="dxa"/>
            <w:shd w:val="clear" w:color="auto" w:fill="FFFFFF"/>
            <w:tcMar>
              <w:top w:w="150" w:type="dxa"/>
              <w:left w:w="0" w:type="dxa"/>
              <w:bottom w:w="150" w:type="dxa"/>
              <w:right w:w="0" w:type="dxa"/>
            </w:tcMar>
            <w:vAlign w:val="center"/>
            <w:hideMark/>
          </w:tcPr>
          <w:p w14:paraId="6C34DF18" w14:textId="77777777" w:rsidR="004A439D" w:rsidRPr="004A439D" w:rsidRDefault="004A439D" w:rsidP="004A439D">
            <w:pPr>
              <w:spacing w:after="375" w:line="240" w:lineRule="auto"/>
              <w:jc w:val="center"/>
              <w:rPr>
                <w:rFonts w:ascii="Helvetica" w:eastAsia="Times New Roman" w:hAnsi="Helvetica" w:cs="Helvetica"/>
                <w:b/>
                <w:bCs/>
                <w:color w:val="232A31"/>
                <w:kern w:val="0"/>
                <w:sz w:val="20"/>
                <w:szCs w:val="20"/>
                <w:lang w:eastAsia="en-IN"/>
                <w14:ligatures w14:val="none"/>
              </w:rPr>
            </w:pPr>
            <w:r w:rsidRPr="004A439D">
              <w:rPr>
                <w:rFonts w:ascii="Helvetica" w:eastAsia="Times New Roman" w:hAnsi="Helvetica" w:cs="Helvetica"/>
                <w:b/>
                <w:bCs/>
                <w:color w:val="232A31"/>
                <w:kern w:val="0"/>
                <w:sz w:val="20"/>
                <w:szCs w:val="20"/>
                <w:lang w:eastAsia="en-IN"/>
                <w14:ligatures w14:val="none"/>
              </w:rPr>
              <w:t>EPS Revisions</w:t>
            </w:r>
          </w:p>
        </w:tc>
        <w:tc>
          <w:tcPr>
            <w:tcW w:w="2640" w:type="dxa"/>
            <w:shd w:val="clear" w:color="auto" w:fill="FFFFFF"/>
            <w:tcMar>
              <w:top w:w="0" w:type="dxa"/>
              <w:left w:w="0" w:type="dxa"/>
              <w:bottom w:w="0" w:type="dxa"/>
              <w:right w:w="0" w:type="dxa"/>
            </w:tcMar>
            <w:vAlign w:val="center"/>
            <w:hideMark/>
          </w:tcPr>
          <w:p w14:paraId="435F8E9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Qtr. (Mar 2024)</w:t>
            </w:r>
          </w:p>
        </w:tc>
        <w:tc>
          <w:tcPr>
            <w:tcW w:w="2640" w:type="dxa"/>
            <w:shd w:val="clear" w:color="auto" w:fill="FFFFFF"/>
            <w:tcMar>
              <w:top w:w="0" w:type="dxa"/>
              <w:left w:w="0" w:type="dxa"/>
              <w:bottom w:w="0" w:type="dxa"/>
              <w:right w:w="0" w:type="dxa"/>
            </w:tcMar>
            <w:vAlign w:val="center"/>
            <w:hideMark/>
          </w:tcPr>
          <w:p w14:paraId="43EDD58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Qtr. (Jun 2024)</w:t>
            </w:r>
          </w:p>
        </w:tc>
        <w:tc>
          <w:tcPr>
            <w:tcW w:w="2640" w:type="dxa"/>
            <w:shd w:val="clear" w:color="auto" w:fill="FFFFFF"/>
            <w:tcMar>
              <w:top w:w="0" w:type="dxa"/>
              <w:left w:w="0" w:type="dxa"/>
              <w:bottom w:w="0" w:type="dxa"/>
              <w:right w:w="0" w:type="dxa"/>
            </w:tcMar>
            <w:vAlign w:val="center"/>
            <w:hideMark/>
          </w:tcPr>
          <w:p w14:paraId="1624748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Year (2024)</w:t>
            </w:r>
          </w:p>
        </w:tc>
        <w:tc>
          <w:tcPr>
            <w:tcW w:w="2640" w:type="dxa"/>
            <w:shd w:val="clear" w:color="auto" w:fill="FFFFFF"/>
            <w:tcMar>
              <w:top w:w="0" w:type="dxa"/>
              <w:left w:w="0" w:type="dxa"/>
              <w:bottom w:w="0" w:type="dxa"/>
              <w:right w:w="0" w:type="dxa"/>
            </w:tcMar>
            <w:vAlign w:val="center"/>
            <w:hideMark/>
          </w:tcPr>
          <w:p w14:paraId="0F964D03"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Year (2025)</w:t>
            </w:r>
          </w:p>
        </w:tc>
      </w:tr>
      <w:tr w:rsidR="004A439D" w:rsidRPr="004A439D" w14:paraId="6A28EBC1" w14:textId="77777777" w:rsidTr="004A439D">
        <w:tc>
          <w:tcPr>
            <w:tcW w:w="4198" w:type="dxa"/>
            <w:shd w:val="clear" w:color="auto" w:fill="FFFFFF"/>
            <w:tcMar>
              <w:top w:w="150" w:type="dxa"/>
              <w:left w:w="0" w:type="dxa"/>
              <w:bottom w:w="150" w:type="dxa"/>
              <w:right w:w="0" w:type="dxa"/>
            </w:tcMar>
            <w:vAlign w:val="center"/>
            <w:hideMark/>
          </w:tcPr>
          <w:p w14:paraId="094EF08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Up Last 7 Days</w:t>
            </w:r>
          </w:p>
        </w:tc>
        <w:tc>
          <w:tcPr>
            <w:tcW w:w="0" w:type="auto"/>
            <w:shd w:val="clear" w:color="auto" w:fill="FFFFFF"/>
            <w:tcMar>
              <w:top w:w="0" w:type="dxa"/>
              <w:left w:w="0" w:type="dxa"/>
              <w:bottom w:w="0" w:type="dxa"/>
              <w:right w:w="0" w:type="dxa"/>
            </w:tcMar>
            <w:vAlign w:val="center"/>
            <w:hideMark/>
          </w:tcPr>
          <w:p w14:paraId="346DA9B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w:t>
            </w:r>
          </w:p>
        </w:tc>
        <w:tc>
          <w:tcPr>
            <w:tcW w:w="0" w:type="auto"/>
            <w:shd w:val="clear" w:color="auto" w:fill="FFFFFF"/>
            <w:tcMar>
              <w:top w:w="0" w:type="dxa"/>
              <w:left w:w="0" w:type="dxa"/>
              <w:bottom w:w="0" w:type="dxa"/>
              <w:right w:w="0" w:type="dxa"/>
            </w:tcMar>
            <w:vAlign w:val="center"/>
            <w:hideMark/>
          </w:tcPr>
          <w:p w14:paraId="6E144F9B"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4</w:t>
            </w:r>
          </w:p>
        </w:tc>
        <w:tc>
          <w:tcPr>
            <w:tcW w:w="0" w:type="auto"/>
            <w:shd w:val="clear" w:color="auto" w:fill="FFFFFF"/>
            <w:tcMar>
              <w:top w:w="0" w:type="dxa"/>
              <w:left w:w="0" w:type="dxa"/>
              <w:bottom w:w="0" w:type="dxa"/>
              <w:right w:w="0" w:type="dxa"/>
            </w:tcMar>
            <w:vAlign w:val="center"/>
            <w:hideMark/>
          </w:tcPr>
          <w:p w14:paraId="1C3ED8C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2</w:t>
            </w:r>
          </w:p>
        </w:tc>
        <w:tc>
          <w:tcPr>
            <w:tcW w:w="0" w:type="auto"/>
            <w:shd w:val="clear" w:color="auto" w:fill="FFFFFF"/>
            <w:tcMar>
              <w:top w:w="0" w:type="dxa"/>
              <w:left w:w="0" w:type="dxa"/>
              <w:bottom w:w="0" w:type="dxa"/>
              <w:right w:w="0" w:type="dxa"/>
            </w:tcMar>
            <w:vAlign w:val="center"/>
            <w:hideMark/>
          </w:tcPr>
          <w:p w14:paraId="320E503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w:t>
            </w:r>
          </w:p>
        </w:tc>
      </w:tr>
      <w:tr w:rsidR="004A439D" w:rsidRPr="004A439D" w14:paraId="732A5FA8" w14:textId="77777777" w:rsidTr="004A439D">
        <w:tc>
          <w:tcPr>
            <w:tcW w:w="4198" w:type="dxa"/>
            <w:shd w:val="clear" w:color="auto" w:fill="FFFFFF"/>
            <w:tcMar>
              <w:top w:w="150" w:type="dxa"/>
              <w:left w:w="0" w:type="dxa"/>
              <w:bottom w:w="150" w:type="dxa"/>
              <w:right w:w="0" w:type="dxa"/>
            </w:tcMar>
            <w:vAlign w:val="center"/>
            <w:hideMark/>
          </w:tcPr>
          <w:p w14:paraId="3EE942C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Up Last 30 Days</w:t>
            </w:r>
          </w:p>
        </w:tc>
        <w:tc>
          <w:tcPr>
            <w:tcW w:w="0" w:type="auto"/>
            <w:shd w:val="clear" w:color="auto" w:fill="FFFFFF"/>
            <w:tcMar>
              <w:top w:w="0" w:type="dxa"/>
              <w:left w:w="0" w:type="dxa"/>
              <w:bottom w:w="0" w:type="dxa"/>
              <w:right w:w="0" w:type="dxa"/>
            </w:tcMar>
            <w:vAlign w:val="center"/>
            <w:hideMark/>
          </w:tcPr>
          <w:p w14:paraId="15B382D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3</w:t>
            </w:r>
          </w:p>
        </w:tc>
        <w:tc>
          <w:tcPr>
            <w:tcW w:w="0" w:type="auto"/>
            <w:shd w:val="clear" w:color="auto" w:fill="FFFFFF"/>
            <w:tcMar>
              <w:top w:w="0" w:type="dxa"/>
              <w:left w:w="0" w:type="dxa"/>
              <w:bottom w:w="0" w:type="dxa"/>
              <w:right w:w="0" w:type="dxa"/>
            </w:tcMar>
            <w:vAlign w:val="center"/>
            <w:hideMark/>
          </w:tcPr>
          <w:p w14:paraId="22AF54F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6</w:t>
            </w:r>
          </w:p>
        </w:tc>
        <w:tc>
          <w:tcPr>
            <w:tcW w:w="0" w:type="auto"/>
            <w:shd w:val="clear" w:color="auto" w:fill="FFFFFF"/>
            <w:tcMar>
              <w:top w:w="0" w:type="dxa"/>
              <w:left w:w="0" w:type="dxa"/>
              <w:bottom w:w="0" w:type="dxa"/>
              <w:right w:w="0" w:type="dxa"/>
            </w:tcMar>
            <w:vAlign w:val="center"/>
            <w:hideMark/>
          </w:tcPr>
          <w:p w14:paraId="3B5A451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w:t>
            </w:r>
          </w:p>
        </w:tc>
        <w:tc>
          <w:tcPr>
            <w:tcW w:w="0" w:type="auto"/>
            <w:shd w:val="clear" w:color="auto" w:fill="FFFFFF"/>
            <w:tcMar>
              <w:top w:w="0" w:type="dxa"/>
              <w:left w:w="0" w:type="dxa"/>
              <w:bottom w:w="0" w:type="dxa"/>
              <w:right w:w="0" w:type="dxa"/>
            </w:tcMar>
            <w:vAlign w:val="center"/>
            <w:hideMark/>
          </w:tcPr>
          <w:p w14:paraId="11187AC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7</w:t>
            </w:r>
          </w:p>
        </w:tc>
      </w:tr>
      <w:tr w:rsidR="004A439D" w:rsidRPr="004A439D" w14:paraId="235FAA22" w14:textId="77777777" w:rsidTr="004A439D">
        <w:tc>
          <w:tcPr>
            <w:tcW w:w="4198" w:type="dxa"/>
            <w:shd w:val="clear" w:color="auto" w:fill="FFFFFF"/>
            <w:tcMar>
              <w:top w:w="150" w:type="dxa"/>
              <w:left w:w="0" w:type="dxa"/>
              <w:bottom w:w="150" w:type="dxa"/>
              <w:right w:w="0" w:type="dxa"/>
            </w:tcMar>
            <w:vAlign w:val="center"/>
            <w:hideMark/>
          </w:tcPr>
          <w:p w14:paraId="3BA4A18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Down Last 7 Days</w:t>
            </w:r>
          </w:p>
        </w:tc>
        <w:tc>
          <w:tcPr>
            <w:tcW w:w="0" w:type="auto"/>
            <w:shd w:val="clear" w:color="auto" w:fill="FFFFFF"/>
            <w:tcMar>
              <w:top w:w="0" w:type="dxa"/>
              <w:left w:w="0" w:type="dxa"/>
              <w:bottom w:w="0" w:type="dxa"/>
              <w:right w:w="0" w:type="dxa"/>
            </w:tcMar>
            <w:vAlign w:val="center"/>
            <w:hideMark/>
          </w:tcPr>
          <w:p w14:paraId="35D658E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0" w:type="dxa"/>
              <w:left w:w="0" w:type="dxa"/>
              <w:bottom w:w="0" w:type="dxa"/>
              <w:right w:w="0" w:type="dxa"/>
            </w:tcMar>
            <w:vAlign w:val="center"/>
            <w:hideMark/>
          </w:tcPr>
          <w:p w14:paraId="7B1D054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0" w:type="dxa"/>
              <w:left w:w="0" w:type="dxa"/>
              <w:bottom w:w="0" w:type="dxa"/>
              <w:right w:w="0" w:type="dxa"/>
            </w:tcMar>
            <w:vAlign w:val="center"/>
            <w:hideMark/>
          </w:tcPr>
          <w:p w14:paraId="23608EE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0" w:type="dxa"/>
              <w:left w:w="0" w:type="dxa"/>
              <w:bottom w:w="0" w:type="dxa"/>
              <w:right w:w="0" w:type="dxa"/>
            </w:tcMar>
            <w:vAlign w:val="center"/>
            <w:hideMark/>
          </w:tcPr>
          <w:p w14:paraId="4A57BFA3"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r w:rsidR="004A439D" w:rsidRPr="004A439D" w14:paraId="56B0C3C4" w14:textId="77777777" w:rsidTr="004A439D">
        <w:tc>
          <w:tcPr>
            <w:tcW w:w="4198" w:type="dxa"/>
            <w:shd w:val="clear" w:color="auto" w:fill="FFFFFF"/>
            <w:tcMar>
              <w:top w:w="150" w:type="dxa"/>
              <w:left w:w="0" w:type="dxa"/>
              <w:bottom w:w="150" w:type="dxa"/>
              <w:right w:w="0" w:type="dxa"/>
            </w:tcMar>
            <w:vAlign w:val="center"/>
            <w:hideMark/>
          </w:tcPr>
          <w:p w14:paraId="280E8CA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Down Last 30 Days</w:t>
            </w:r>
          </w:p>
        </w:tc>
        <w:tc>
          <w:tcPr>
            <w:tcW w:w="0" w:type="auto"/>
            <w:shd w:val="clear" w:color="auto" w:fill="FFFFFF"/>
            <w:tcMar>
              <w:top w:w="0" w:type="dxa"/>
              <w:left w:w="0" w:type="dxa"/>
              <w:bottom w:w="0" w:type="dxa"/>
              <w:right w:w="0" w:type="dxa"/>
            </w:tcMar>
            <w:vAlign w:val="center"/>
            <w:hideMark/>
          </w:tcPr>
          <w:p w14:paraId="5135D1C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w:t>
            </w:r>
          </w:p>
        </w:tc>
        <w:tc>
          <w:tcPr>
            <w:tcW w:w="0" w:type="auto"/>
            <w:shd w:val="clear" w:color="auto" w:fill="FFFFFF"/>
            <w:tcMar>
              <w:top w:w="0" w:type="dxa"/>
              <w:left w:w="0" w:type="dxa"/>
              <w:bottom w:w="0" w:type="dxa"/>
              <w:right w:w="0" w:type="dxa"/>
            </w:tcMar>
            <w:vAlign w:val="center"/>
            <w:hideMark/>
          </w:tcPr>
          <w:p w14:paraId="18BCCE1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2</w:t>
            </w:r>
          </w:p>
        </w:tc>
        <w:tc>
          <w:tcPr>
            <w:tcW w:w="0" w:type="auto"/>
            <w:shd w:val="clear" w:color="auto" w:fill="FFFFFF"/>
            <w:tcMar>
              <w:top w:w="0" w:type="dxa"/>
              <w:left w:w="0" w:type="dxa"/>
              <w:bottom w:w="0" w:type="dxa"/>
              <w:right w:w="0" w:type="dxa"/>
            </w:tcMar>
            <w:vAlign w:val="center"/>
            <w:hideMark/>
          </w:tcPr>
          <w:p w14:paraId="1E3A9D8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5</w:t>
            </w:r>
          </w:p>
        </w:tc>
        <w:tc>
          <w:tcPr>
            <w:tcW w:w="0" w:type="auto"/>
            <w:shd w:val="clear" w:color="auto" w:fill="FFFFFF"/>
            <w:tcMar>
              <w:top w:w="0" w:type="dxa"/>
              <w:left w:w="0" w:type="dxa"/>
              <w:bottom w:w="0" w:type="dxa"/>
              <w:right w:w="0" w:type="dxa"/>
            </w:tcMar>
            <w:vAlign w:val="center"/>
            <w:hideMark/>
          </w:tcPr>
          <w:p w14:paraId="49B8EED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2</w:t>
            </w:r>
          </w:p>
        </w:tc>
      </w:tr>
    </w:tbl>
    <w:p w14:paraId="56531F7A" w14:textId="77777777" w:rsidR="004A439D" w:rsidRPr="004A439D" w:rsidRDefault="004A439D" w:rsidP="004A439D">
      <w:pPr>
        <w:spacing w:after="0" w:line="240" w:lineRule="auto"/>
        <w:jc w:val="center"/>
        <w:rPr>
          <w:rFonts w:ascii="Times New Roman" w:eastAsia="Times New Roman" w:hAnsi="Times New Roman" w:cs="Times New Roman"/>
          <w:vanish/>
          <w:kern w:val="0"/>
          <w:sz w:val="24"/>
          <w:szCs w:val="24"/>
          <w:lang w:eastAsia="en-IN"/>
          <w14:ligatures w14:val="none"/>
        </w:rPr>
      </w:pPr>
    </w:p>
    <w:tbl>
      <w:tblPr>
        <w:tblW w:w="14758" w:type="dxa"/>
        <w:tblInd w:w="-1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2640"/>
        <w:gridCol w:w="2640"/>
        <w:gridCol w:w="2640"/>
        <w:gridCol w:w="2640"/>
      </w:tblGrid>
      <w:tr w:rsidR="004A439D" w:rsidRPr="004A439D" w14:paraId="3B622923" w14:textId="77777777" w:rsidTr="004A439D">
        <w:trPr>
          <w:tblHeader/>
        </w:trPr>
        <w:tc>
          <w:tcPr>
            <w:tcW w:w="4198" w:type="dxa"/>
            <w:shd w:val="clear" w:color="auto" w:fill="FFFFFF"/>
            <w:tcMar>
              <w:top w:w="150" w:type="dxa"/>
              <w:left w:w="0" w:type="dxa"/>
              <w:bottom w:w="150" w:type="dxa"/>
              <w:right w:w="0" w:type="dxa"/>
            </w:tcMar>
            <w:vAlign w:val="center"/>
            <w:hideMark/>
          </w:tcPr>
          <w:p w14:paraId="4DEB6D07" w14:textId="77777777" w:rsidR="004A439D" w:rsidRPr="004A439D" w:rsidRDefault="004A439D" w:rsidP="004A439D">
            <w:pPr>
              <w:spacing w:after="375" w:line="240" w:lineRule="auto"/>
              <w:jc w:val="center"/>
              <w:rPr>
                <w:rFonts w:ascii="Helvetica" w:eastAsia="Times New Roman" w:hAnsi="Helvetica" w:cs="Helvetica"/>
                <w:b/>
                <w:bCs/>
                <w:color w:val="232A31"/>
                <w:kern w:val="0"/>
                <w:sz w:val="20"/>
                <w:szCs w:val="20"/>
                <w:lang w:eastAsia="en-IN"/>
                <w14:ligatures w14:val="none"/>
              </w:rPr>
            </w:pPr>
            <w:r w:rsidRPr="004A439D">
              <w:rPr>
                <w:rFonts w:ascii="Helvetica" w:eastAsia="Times New Roman" w:hAnsi="Helvetica" w:cs="Helvetica"/>
                <w:b/>
                <w:bCs/>
                <w:color w:val="232A31"/>
                <w:kern w:val="0"/>
                <w:sz w:val="20"/>
                <w:szCs w:val="20"/>
                <w:lang w:eastAsia="en-IN"/>
                <w14:ligatures w14:val="none"/>
              </w:rPr>
              <w:t>Growth Estimates</w:t>
            </w:r>
          </w:p>
        </w:tc>
        <w:tc>
          <w:tcPr>
            <w:tcW w:w="2640" w:type="dxa"/>
            <w:shd w:val="clear" w:color="auto" w:fill="FFFFFF"/>
            <w:tcMar>
              <w:top w:w="150" w:type="dxa"/>
              <w:left w:w="0" w:type="dxa"/>
              <w:bottom w:w="150" w:type="dxa"/>
              <w:right w:w="0" w:type="dxa"/>
            </w:tcMar>
            <w:vAlign w:val="center"/>
            <w:hideMark/>
          </w:tcPr>
          <w:p w14:paraId="5BC279F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GS</w:t>
            </w:r>
          </w:p>
        </w:tc>
        <w:tc>
          <w:tcPr>
            <w:tcW w:w="2640" w:type="dxa"/>
            <w:shd w:val="clear" w:color="auto" w:fill="FFFFFF"/>
            <w:tcMar>
              <w:top w:w="150" w:type="dxa"/>
              <w:left w:w="0" w:type="dxa"/>
              <w:bottom w:w="150" w:type="dxa"/>
              <w:right w:w="0" w:type="dxa"/>
            </w:tcMar>
            <w:vAlign w:val="center"/>
            <w:hideMark/>
          </w:tcPr>
          <w:p w14:paraId="4ECEAD9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Industry</w:t>
            </w:r>
          </w:p>
        </w:tc>
        <w:tc>
          <w:tcPr>
            <w:tcW w:w="2640" w:type="dxa"/>
            <w:shd w:val="clear" w:color="auto" w:fill="FFFFFF"/>
            <w:tcMar>
              <w:top w:w="150" w:type="dxa"/>
              <w:left w:w="0" w:type="dxa"/>
              <w:bottom w:w="150" w:type="dxa"/>
              <w:right w:w="0" w:type="dxa"/>
            </w:tcMar>
            <w:vAlign w:val="center"/>
            <w:hideMark/>
          </w:tcPr>
          <w:p w14:paraId="69E622B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Sector(s)</w:t>
            </w:r>
          </w:p>
        </w:tc>
        <w:tc>
          <w:tcPr>
            <w:tcW w:w="2640" w:type="dxa"/>
            <w:shd w:val="clear" w:color="auto" w:fill="FFFFFF"/>
            <w:tcMar>
              <w:top w:w="150" w:type="dxa"/>
              <w:left w:w="0" w:type="dxa"/>
              <w:bottom w:w="150" w:type="dxa"/>
              <w:right w:w="0" w:type="dxa"/>
            </w:tcMar>
            <w:vAlign w:val="center"/>
            <w:hideMark/>
          </w:tcPr>
          <w:p w14:paraId="3CCDB9E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S&amp;P 500</w:t>
            </w:r>
          </w:p>
        </w:tc>
      </w:tr>
      <w:tr w:rsidR="004A439D" w:rsidRPr="004A439D" w14:paraId="48128797" w14:textId="77777777" w:rsidTr="004A439D">
        <w:tc>
          <w:tcPr>
            <w:tcW w:w="4198" w:type="dxa"/>
            <w:shd w:val="clear" w:color="auto" w:fill="FFFFFF"/>
            <w:tcMar>
              <w:top w:w="150" w:type="dxa"/>
              <w:left w:w="0" w:type="dxa"/>
              <w:bottom w:w="150" w:type="dxa"/>
              <w:right w:w="0" w:type="dxa"/>
            </w:tcMar>
            <w:vAlign w:val="center"/>
            <w:hideMark/>
          </w:tcPr>
          <w:p w14:paraId="3FD1097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Qtr.</w:t>
            </w:r>
          </w:p>
        </w:tc>
        <w:tc>
          <w:tcPr>
            <w:tcW w:w="0" w:type="auto"/>
            <w:shd w:val="clear" w:color="auto" w:fill="FFFFFF"/>
            <w:tcMar>
              <w:top w:w="150" w:type="dxa"/>
              <w:left w:w="0" w:type="dxa"/>
              <w:bottom w:w="150" w:type="dxa"/>
              <w:right w:w="0" w:type="dxa"/>
            </w:tcMar>
            <w:vAlign w:val="center"/>
            <w:hideMark/>
          </w:tcPr>
          <w:p w14:paraId="51650DB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0.10%</w:t>
            </w:r>
          </w:p>
        </w:tc>
        <w:tc>
          <w:tcPr>
            <w:tcW w:w="0" w:type="auto"/>
            <w:shd w:val="clear" w:color="auto" w:fill="FFFFFF"/>
            <w:tcMar>
              <w:top w:w="150" w:type="dxa"/>
              <w:left w:w="0" w:type="dxa"/>
              <w:bottom w:w="150" w:type="dxa"/>
              <w:right w:w="0" w:type="dxa"/>
            </w:tcMar>
            <w:vAlign w:val="center"/>
            <w:hideMark/>
          </w:tcPr>
          <w:p w14:paraId="2CCB3BF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0BC8EF9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369D354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r w:rsidR="004A439D" w:rsidRPr="004A439D" w14:paraId="3A016452" w14:textId="77777777" w:rsidTr="004A439D">
        <w:tc>
          <w:tcPr>
            <w:tcW w:w="4198" w:type="dxa"/>
            <w:shd w:val="clear" w:color="auto" w:fill="FFFFFF"/>
            <w:tcMar>
              <w:top w:w="150" w:type="dxa"/>
              <w:left w:w="0" w:type="dxa"/>
              <w:bottom w:w="150" w:type="dxa"/>
              <w:right w:w="0" w:type="dxa"/>
            </w:tcMar>
            <w:vAlign w:val="center"/>
            <w:hideMark/>
          </w:tcPr>
          <w:p w14:paraId="09E883A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Qtr.</w:t>
            </w:r>
          </w:p>
        </w:tc>
        <w:tc>
          <w:tcPr>
            <w:tcW w:w="0" w:type="auto"/>
            <w:shd w:val="clear" w:color="auto" w:fill="FFFFFF"/>
            <w:tcMar>
              <w:top w:w="150" w:type="dxa"/>
              <w:left w:w="0" w:type="dxa"/>
              <w:bottom w:w="150" w:type="dxa"/>
              <w:right w:w="0" w:type="dxa"/>
            </w:tcMar>
            <w:vAlign w:val="center"/>
            <w:hideMark/>
          </w:tcPr>
          <w:p w14:paraId="381032D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171.10%</w:t>
            </w:r>
          </w:p>
        </w:tc>
        <w:tc>
          <w:tcPr>
            <w:tcW w:w="0" w:type="auto"/>
            <w:shd w:val="clear" w:color="auto" w:fill="FFFFFF"/>
            <w:tcMar>
              <w:top w:w="150" w:type="dxa"/>
              <w:left w:w="0" w:type="dxa"/>
              <w:bottom w:w="150" w:type="dxa"/>
              <w:right w:w="0" w:type="dxa"/>
            </w:tcMar>
            <w:vAlign w:val="center"/>
            <w:hideMark/>
          </w:tcPr>
          <w:p w14:paraId="607AC49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60D4729A"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513D5C0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r w:rsidR="004A439D" w:rsidRPr="004A439D" w14:paraId="3E0CE8A9" w14:textId="77777777" w:rsidTr="004A439D">
        <w:tc>
          <w:tcPr>
            <w:tcW w:w="4198" w:type="dxa"/>
            <w:shd w:val="clear" w:color="auto" w:fill="FFFFFF"/>
            <w:tcMar>
              <w:top w:w="150" w:type="dxa"/>
              <w:left w:w="0" w:type="dxa"/>
              <w:bottom w:w="150" w:type="dxa"/>
              <w:right w:w="0" w:type="dxa"/>
            </w:tcMar>
            <w:vAlign w:val="center"/>
            <w:hideMark/>
          </w:tcPr>
          <w:p w14:paraId="6272727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Current Year</w:t>
            </w:r>
          </w:p>
        </w:tc>
        <w:tc>
          <w:tcPr>
            <w:tcW w:w="0" w:type="auto"/>
            <w:shd w:val="clear" w:color="auto" w:fill="FFFFFF"/>
            <w:tcMar>
              <w:top w:w="150" w:type="dxa"/>
              <w:left w:w="0" w:type="dxa"/>
              <w:bottom w:w="150" w:type="dxa"/>
              <w:right w:w="0" w:type="dxa"/>
            </w:tcMar>
            <w:vAlign w:val="center"/>
            <w:hideMark/>
          </w:tcPr>
          <w:p w14:paraId="5B9DD61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47.90%</w:t>
            </w:r>
          </w:p>
        </w:tc>
        <w:tc>
          <w:tcPr>
            <w:tcW w:w="0" w:type="auto"/>
            <w:shd w:val="clear" w:color="auto" w:fill="FFFFFF"/>
            <w:tcMar>
              <w:top w:w="150" w:type="dxa"/>
              <w:left w:w="0" w:type="dxa"/>
              <w:bottom w:w="150" w:type="dxa"/>
              <w:right w:w="0" w:type="dxa"/>
            </w:tcMar>
            <w:vAlign w:val="center"/>
            <w:hideMark/>
          </w:tcPr>
          <w:p w14:paraId="512ACCD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7200BBC0"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212FB3A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r w:rsidR="004A439D" w:rsidRPr="004A439D" w14:paraId="53D335E8" w14:textId="77777777" w:rsidTr="004A439D">
        <w:tc>
          <w:tcPr>
            <w:tcW w:w="4198" w:type="dxa"/>
            <w:shd w:val="clear" w:color="auto" w:fill="FFFFFF"/>
            <w:tcMar>
              <w:top w:w="150" w:type="dxa"/>
              <w:left w:w="0" w:type="dxa"/>
              <w:bottom w:w="150" w:type="dxa"/>
              <w:right w:w="0" w:type="dxa"/>
            </w:tcMar>
            <w:vAlign w:val="center"/>
            <w:hideMark/>
          </w:tcPr>
          <w:p w14:paraId="10467C0E"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lastRenderedPageBreak/>
              <w:t>Next Year</w:t>
            </w:r>
          </w:p>
        </w:tc>
        <w:tc>
          <w:tcPr>
            <w:tcW w:w="0" w:type="auto"/>
            <w:shd w:val="clear" w:color="auto" w:fill="FFFFFF"/>
            <w:tcMar>
              <w:top w:w="150" w:type="dxa"/>
              <w:left w:w="0" w:type="dxa"/>
              <w:bottom w:w="150" w:type="dxa"/>
              <w:right w:w="0" w:type="dxa"/>
            </w:tcMar>
            <w:vAlign w:val="center"/>
            <w:hideMark/>
          </w:tcPr>
          <w:p w14:paraId="7B11E4B2"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15.30%</w:t>
            </w:r>
          </w:p>
        </w:tc>
        <w:tc>
          <w:tcPr>
            <w:tcW w:w="0" w:type="auto"/>
            <w:shd w:val="clear" w:color="auto" w:fill="FFFFFF"/>
            <w:tcMar>
              <w:top w:w="150" w:type="dxa"/>
              <w:left w:w="0" w:type="dxa"/>
              <w:bottom w:w="150" w:type="dxa"/>
              <w:right w:w="0" w:type="dxa"/>
            </w:tcMar>
            <w:vAlign w:val="center"/>
            <w:hideMark/>
          </w:tcPr>
          <w:p w14:paraId="787F890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4FB8E83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03B1B757"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r w:rsidR="004A439D" w:rsidRPr="004A439D" w14:paraId="6693CDD1" w14:textId="77777777" w:rsidTr="004A439D">
        <w:tc>
          <w:tcPr>
            <w:tcW w:w="4198" w:type="dxa"/>
            <w:shd w:val="clear" w:color="auto" w:fill="FFFFFF"/>
            <w:tcMar>
              <w:top w:w="150" w:type="dxa"/>
              <w:left w:w="0" w:type="dxa"/>
              <w:bottom w:w="150" w:type="dxa"/>
              <w:right w:w="0" w:type="dxa"/>
            </w:tcMar>
            <w:vAlign w:val="center"/>
            <w:hideMark/>
          </w:tcPr>
          <w:p w14:paraId="68C7F30D"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Next 5 Years (per annum)</w:t>
            </w:r>
          </w:p>
        </w:tc>
        <w:tc>
          <w:tcPr>
            <w:tcW w:w="0" w:type="auto"/>
            <w:shd w:val="clear" w:color="auto" w:fill="FFFFFF"/>
            <w:tcMar>
              <w:top w:w="150" w:type="dxa"/>
              <w:left w:w="0" w:type="dxa"/>
              <w:bottom w:w="150" w:type="dxa"/>
              <w:right w:w="0" w:type="dxa"/>
            </w:tcMar>
            <w:vAlign w:val="center"/>
            <w:hideMark/>
          </w:tcPr>
          <w:p w14:paraId="59C41788"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17.20%</w:t>
            </w:r>
          </w:p>
        </w:tc>
        <w:tc>
          <w:tcPr>
            <w:tcW w:w="0" w:type="auto"/>
            <w:shd w:val="clear" w:color="auto" w:fill="FFFFFF"/>
            <w:tcMar>
              <w:top w:w="150" w:type="dxa"/>
              <w:left w:w="0" w:type="dxa"/>
              <w:bottom w:w="150" w:type="dxa"/>
              <w:right w:w="0" w:type="dxa"/>
            </w:tcMar>
            <w:vAlign w:val="center"/>
            <w:hideMark/>
          </w:tcPr>
          <w:p w14:paraId="52C7A621"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503D2524"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54C6B829"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r w:rsidR="004A439D" w:rsidRPr="004A439D" w14:paraId="77C26E39" w14:textId="77777777" w:rsidTr="004A439D">
        <w:tc>
          <w:tcPr>
            <w:tcW w:w="4198" w:type="dxa"/>
            <w:shd w:val="clear" w:color="auto" w:fill="FFFFFF"/>
            <w:tcMar>
              <w:top w:w="150" w:type="dxa"/>
              <w:left w:w="0" w:type="dxa"/>
              <w:bottom w:w="150" w:type="dxa"/>
              <w:right w:w="0" w:type="dxa"/>
            </w:tcMar>
            <w:vAlign w:val="center"/>
            <w:hideMark/>
          </w:tcPr>
          <w:p w14:paraId="4F4BAB5C"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Past 5 Years (per annum)</w:t>
            </w:r>
          </w:p>
        </w:tc>
        <w:tc>
          <w:tcPr>
            <w:tcW w:w="0" w:type="auto"/>
            <w:shd w:val="clear" w:color="auto" w:fill="FFFFFF"/>
            <w:tcMar>
              <w:top w:w="150" w:type="dxa"/>
              <w:left w:w="0" w:type="dxa"/>
              <w:bottom w:w="150" w:type="dxa"/>
              <w:right w:w="0" w:type="dxa"/>
            </w:tcMar>
            <w:vAlign w:val="center"/>
            <w:hideMark/>
          </w:tcPr>
          <w:p w14:paraId="24F9B97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1.12%</w:t>
            </w:r>
          </w:p>
        </w:tc>
        <w:tc>
          <w:tcPr>
            <w:tcW w:w="0" w:type="auto"/>
            <w:shd w:val="clear" w:color="auto" w:fill="FFFFFF"/>
            <w:tcMar>
              <w:top w:w="150" w:type="dxa"/>
              <w:left w:w="0" w:type="dxa"/>
              <w:bottom w:w="150" w:type="dxa"/>
              <w:right w:w="0" w:type="dxa"/>
            </w:tcMar>
            <w:vAlign w:val="center"/>
            <w:hideMark/>
          </w:tcPr>
          <w:p w14:paraId="1B4E0525"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1B282546"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c>
          <w:tcPr>
            <w:tcW w:w="0" w:type="auto"/>
            <w:shd w:val="clear" w:color="auto" w:fill="FFFFFF"/>
            <w:tcMar>
              <w:top w:w="150" w:type="dxa"/>
              <w:left w:w="0" w:type="dxa"/>
              <w:bottom w:w="150" w:type="dxa"/>
              <w:right w:w="0" w:type="dxa"/>
            </w:tcMar>
            <w:vAlign w:val="center"/>
            <w:hideMark/>
          </w:tcPr>
          <w:p w14:paraId="6E2AB72F" w14:textId="77777777" w:rsidR="004A439D" w:rsidRPr="004A439D" w:rsidRDefault="004A439D" w:rsidP="004A439D">
            <w:pPr>
              <w:spacing w:after="375" w:line="240" w:lineRule="auto"/>
              <w:jc w:val="center"/>
              <w:rPr>
                <w:rFonts w:ascii="Helvetica" w:eastAsia="Times New Roman" w:hAnsi="Helvetica" w:cs="Helvetica"/>
                <w:color w:val="232A31"/>
                <w:kern w:val="0"/>
                <w:sz w:val="20"/>
                <w:szCs w:val="20"/>
                <w:lang w:eastAsia="en-IN"/>
                <w14:ligatures w14:val="none"/>
              </w:rPr>
            </w:pPr>
            <w:r w:rsidRPr="004A439D">
              <w:rPr>
                <w:rFonts w:ascii="Helvetica" w:eastAsia="Times New Roman" w:hAnsi="Helvetica" w:cs="Helvetica"/>
                <w:color w:val="232A31"/>
                <w:kern w:val="0"/>
                <w:sz w:val="20"/>
                <w:szCs w:val="20"/>
                <w:lang w:eastAsia="en-IN"/>
                <w14:ligatures w14:val="none"/>
              </w:rPr>
              <w:t>N/A</w:t>
            </w:r>
          </w:p>
        </w:tc>
      </w:tr>
    </w:tbl>
    <w:p w14:paraId="6141F116" w14:textId="77777777" w:rsidR="00960DFD" w:rsidRDefault="00960DFD" w:rsidP="004A439D">
      <w:pPr>
        <w:ind w:left="715"/>
        <w:jc w:val="center"/>
        <w:rPr>
          <w:sz w:val="40"/>
          <w:szCs w:val="40"/>
        </w:rPr>
      </w:pPr>
    </w:p>
    <w:p w14:paraId="67E0A468" w14:textId="69FE6FAE" w:rsidR="004A439D" w:rsidRDefault="00B522BB" w:rsidP="004A439D">
      <w:pPr>
        <w:ind w:left="715"/>
        <w:jc w:val="center"/>
        <w:rPr>
          <w:sz w:val="40"/>
          <w:szCs w:val="40"/>
        </w:rPr>
      </w:pPr>
      <w:r>
        <w:rPr>
          <w:sz w:val="40"/>
          <w:szCs w:val="40"/>
        </w:rPr>
        <w:t>COLCLUSION</w:t>
      </w:r>
    </w:p>
    <w:p w14:paraId="3DA4E5A9" w14:textId="77777777" w:rsidR="004C33ED" w:rsidRPr="004C33ED" w:rsidRDefault="004C33ED" w:rsidP="004C33ED">
      <w:pPr>
        <w:ind w:left="715"/>
        <w:jc w:val="center"/>
        <w:rPr>
          <w:sz w:val="40"/>
          <w:szCs w:val="40"/>
        </w:rPr>
      </w:pPr>
      <w:r w:rsidRPr="004C33ED">
        <w:rPr>
          <w:sz w:val="40"/>
          <w:szCs w:val="40"/>
        </w:rPr>
        <w:t>Based on the comparison between the selected stock, Apple Inc. (AAPL), and the S&amp;P 500 index over the past year (April 1, 2023, to April 1, 2024), we can draw the following conclusions and insights into AAPL's performance:</w:t>
      </w:r>
    </w:p>
    <w:p w14:paraId="7A0B6460" w14:textId="77777777" w:rsidR="004C33ED" w:rsidRPr="004C33ED" w:rsidRDefault="004C33ED" w:rsidP="004C33ED">
      <w:pPr>
        <w:ind w:left="715"/>
        <w:jc w:val="center"/>
        <w:rPr>
          <w:sz w:val="40"/>
          <w:szCs w:val="40"/>
        </w:rPr>
      </w:pPr>
    </w:p>
    <w:p w14:paraId="2216AADE" w14:textId="77777777" w:rsidR="004C33ED" w:rsidRPr="004C33ED" w:rsidRDefault="004C33ED" w:rsidP="004C33ED">
      <w:pPr>
        <w:ind w:left="715"/>
        <w:jc w:val="center"/>
        <w:rPr>
          <w:sz w:val="40"/>
          <w:szCs w:val="40"/>
        </w:rPr>
      </w:pPr>
      <w:r w:rsidRPr="004C33ED">
        <w:rPr>
          <w:sz w:val="40"/>
          <w:szCs w:val="40"/>
        </w:rPr>
        <w:t>Performance Relative to the S&amp;P 500: AAPL's performance needs to be compared to the overall market represented by the S&amp;P 500 index. If AAPL's percentage change is higher than that of the S&amp;P 500, it indicates that AAPL has outperformed the broader market during the specified time period. Conversely, if AAPL's percentage change is lower than that of the S&amp;P 500, it suggests underperformance relative to the market.</w:t>
      </w:r>
    </w:p>
    <w:p w14:paraId="5AA5C104" w14:textId="77777777" w:rsidR="004C33ED" w:rsidRPr="004C33ED" w:rsidRDefault="004C33ED" w:rsidP="004C33ED">
      <w:pPr>
        <w:ind w:left="715"/>
        <w:jc w:val="center"/>
        <w:rPr>
          <w:sz w:val="40"/>
          <w:szCs w:val="40"/>
        </w:rPr>
      </w:pPr>
    </w:p>
    <w:p w14:paraId="23EAA367" w14:textId="77777777" w:rsidR="004C33ED" w:rsidRPr="004C33ED" w:rsidRDefault="004C33ED" w:rsidP="004C33ED">
      <w:pPr>
        <w:ind w:left="715"/>
        <w:jc w:val="center"/>
        <w:rPr>
          <w:sz w:val="40"/>
          <w:szCs w:val="40"/>
        </w:rPr>
      </w:pPr>
      <w:r w:rsidRPr="004C33ED">
        <w:rPr>
          <w:sz w:val="40"/>
          <w:szCs w:val="40"/>
        </w:rPr>
        <w:t>Factors Influencing Performance: Various factors such as company earnings reports, product launches, market sentiment, and broader economic conditions can influence AAPL's performance compared to the S&amp;P 500 index. Positive developments, such as strong earnings growth or successful product launches, may contribute to AAPL outperforming the market, while negative news or economic downturns may lead to underperformance.</w:t>
      </w:r>
    </w:p>
    <w:p w14:paraId="7B8B5DF0" w14:textId="77777777" w:rsidR="004C33ED" w:rsidRPr="004C33ED" w:rsidRDefault="004C33ED" w:rsidP="004C33ED">
      <w:pPr>
        <w:ind w:left="715"/>
        <w:jc w:val="center"/>
        <w:rPr>
          <w:sz w:val="40"/>
          <w:szCs w:val="40"/>
        </w:rPr>
      </w:pPr>
    </w:p>
    <w:p w14:paraId="2C9FB0E2" w14:textId="77777777" w:rsidR="004C33ED" w:rsidRPr="004C33ED" w:rsidRDefault="004C33ED" w:rsidP="004C33ED">
      <w:pPr>
        <w:ind w:left="715"/>
        <w:jc w:val="center"/>
        <w:rPr>
          <w:sz w:val="40"/>
          <w:szCs w:val="40"/>
        </w:rPr>
      </w:pPr>
      <w:r w:rsidRPr="004C33ED">
        <w:rPr>
          <w:sz w:val="40"/>
          <w:szCs w:val="40"/>
        </w:rPr>
        <w:t xml:space="preserve">Investor Sentiment and Market Dynamics: Investor sentiment towards AAPL, as well as market dynamics such as sector rotations or changes in interest rates, can also impact AAPL's performance relative to the S&amp;P 500. Positive sentiment and </w:t>
      </w:r>
      <w:proofErr w:type="spellStart"/>
      <w:r w:rsidRPr="004C33ED">
        <w:rPr>
          <w:sz w:val="40"/>
          <w:szCs w:val="40"/>
        </w:rPr>
        <w:t>favorable</w:t>
      </w:r>
      <w:proofErr w:type="spellEnd"/>
      <w:r w:rsidRPr="004C33ED">
        <w:rPr>
          <w:sz w:val="40"/>
          <w:szCs w:val="40"/>
        </w:rPr>
        <w:t xml:space="preserve"> market conditions may drive AAPL's stock price higher, while negative sentiment or market headwinds could lead to underperformance.</w:t>
      </w:r>
    </w:p>
    <w:p w14:paraId="055188C6" w14:textId="77777777" w:rsidR="004C33ED" w:rsidRPr="004C33ED" w:rsidRDefault="004C33ED" w:rsidP="004C33ED">
      <w:pPr>
        <w:ind w:left="715"/>
        <w:jc w:val="center"/>
        <w:rPr>
          <w:sz w:val="40"/>
          <w:szCs w:val="40"/>
        </w:rPr>
      </w:pPr>
    </w:p>
    <w:p w14:paraId="23F8D006" w14:textId="77777777" w:rsidR="004C33ED" w:rsidRPr="004C33ED" w:rsidRDefault="004C33ED" w:rsidP="004C33ED">
      <w:pPr>
        <w:ind w:left="715"/>
        <w:jc w:val="center"/>
        <w:rPr>
          <w:sz w:val="40"/>
          <w:szCs w:val="40"/>
        </w:rPr>
      </w:pPr>
      <w:r w:rsidRPr="004C33ED">
        <w:rPr>
          <w:sz w:val="40"/>
          <w:szCs w:val="40"/>
        </w:rPr>
        <w:t xml:space="preserve">Long-Term vs. Short-Term Performance: It's essential to consider both short-term and long-term performance trends when evaluating AAPL's </w:t>
      </w:r>
      <w:r w:rsidRPr="004C33ED">
        <w:rPr>
          <w:sz w:val="40"/>
          <w:szCs w:val="40"/>
        </w:rPr>
        <w:lastRenderedPageBreak/>
        <w:t>performance relative to the S&amp;P 500. While AAPL may have outperformed or underperformed the index over the past year, its long-term performance trajectory should also be assessed to determine its overall strength and resilience.</w:t>
      </w:r>
    </w:p>
    <w:p w14:paraId="1B514395" w14:textId="77777777" w:rsidR="004C33ED" w:rsidRPr="004C33ED" w:rsidRDefault="004C33ED" w:rsidP="004C33ED">
      <w:pPr>
        <w:ind w:left="715"/>
        <w:jc w:val="center"/>
        <w:rPr>
          <w:sz w:val="40"/>
          <w:szCs w:val="40"/>
        </w:rPr>
      </w:pPr>
    </w:p>
    <w:p w14:paraId="0AD61D94" w14:textId="179A76F6" w:rsidR="004C33ED" w:rsidRPr="00040774" w:rsidRDefault="004C33ED" w:rsidP="004C33ED">
      <w:pPr>
        <w:ind w:left="715"/>
        <w:jc w:val="center"/>
        <w:rPr>
          <w:sz w:val="40"/>
          <w:szCs w:val="40"/>
        </w:rPr>
      </w:pPr>
      <w:r w:rsidRPr="004C33ED">
        <w:rPr>
          <w:sz w:val="40"/>
          <w:szCs w:val="40"/>
        </w:rPr>
        <w:t>Investment Implications: Understanding AAPL's performance relative to the broader market can provide valuable insights for investors. If AAPL consistently outperforms the S&amp;P 500 over time, it may be considered a strong investment opportunity, whereas persistent underperformance may raise concerns and prompt investors to reevaluate their investment thesis.</w:t>
      </w:r>
    </w:p>
    <w:sectPr w:rsidR="004C33ED" w:rsidRPr="00040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3618"/>
    <w:multiLevelType w:val="multilevel"/>
    <w:tmpl w:val="D8C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22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0"/>
    <w:rsid w:val="00040774"/>
    <w:rsid w:val="001D0D41"/>
    <w:rsid w:val="004A439D"/>
    <w:rsid w:val="004C33ED"/>
    <w:rsid w:val="00563060"/>
    <w:rsid w:val="007D26EE"/>
    <w:rsid w:val="008A099F"/>
    <w:rsid w:val="00960DFD"/>
    <w:rsid w:val="00B522BB"/>
    <w:rsid w:val="00DE61F1"/>
    <w:rsid w:val="00DF4775"/>
    <w:rsid w:val="00E9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D624"/>
  <w15:chartTrackingRefBased/>
  <w15:docId w15:val="{5273D4E9-E6D5-4197-81A3-D8DEAC64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0D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63060"/>
    <w:pPr>
      <w:spacing w:after="0" w:line="240" w:lineRule="auto"/>
    </w:pPr>
  </w:style>
  <w:style w:type="character" w:customStyle="1" w:styleId="Heading2Char">
    <w:name w:val="Heading 2 Char"/>
    <w:basedOn w:val="DefaultParagraphFont"/>
    <w:link w:val="Heading2"/>
    <w:uiPriority w:val="9"/>
    <w:rsid w:val="00563060"/>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563060"/>
    <w:rPr>
      <w:b/>
      <w:bCs/>
      <w:i/>
      <w:iCs/>
      <w:spacing w:val="5"/>
    </w:rPr>
  </w:style>
  <w:style w:type="character" w:customStyle="1" w:styleId="Heading3Char">
    <w:name w:val="Heading 3 Char"/>
    <w:basedOn w:val="DefaultParagraphFont"/>
    <w:link w:val="Heading3"/>
    <w:uiPriority w:val="9"/>
    <w:rsid w:val="00563060"/>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0407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0774"/>
    <w:rPr>
      <w:i/>
      <w:iCs/>
      <w:color w:val="4472C4" w:themeColor="accent1"/>
    </w:rPr>
  </w:style>
  <w:style w:type="character" w:styleId="Strong">
    <w:name w:val="Strong"/>
    <w:basedOn w:val="DefaultParagraphFont"/>
    <w:uiPriority w:val="22"/>
    <w:qFormat/>
    <w:rsid w:val="008A099F"/>
    <w:rPr>
      <w:b/>
      <w:bCs/>
    </w:rPr>
  </w:style>
  <w:style w:type="paragraph" w:styleId="ListParagraph">
    <w:name w:val="List Paragraph"/>
    <w:basedOn w:val="Normal"/>
    <w:uiPriority w:val="34"/>
    <w:qFormat/>
    <w:rsid w:val="001D0D41"/>
    <w:pPr>
      <w:ind w:left="720"/>
      <w:contextualSpacing/>
    </w:pPr>
  </w:style>
  <w:style w:type="character" w:customStyle="1" w:styleId="Heading4Char">
    <w:name w:val="Heading 4 Char"/>
    <w:basedOn w:val="DefaultParagraphFont"/>
    <w:link w:val="Heading4"/>
    <w:uiPriority w:val="9"/>
    <w:rsid w:val="001D0D4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F4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F4775"/>
    <w:rPr>
      <w:color w:val="0000FF"/>
      <w:u w:val="single"/>
    </w:rPr>
  </w:style>
  <w:style w:type="character" w:styleId="UnresolvedMention">
    <w:name w:val="Unresolved Mention"/>
    <w:basedOn w:val="DefaultParagraphFont"/>
    <w:uiPriority w:val="99"/>
    <w:semiHidden/>
    <w:unhideWhenUsed/>
    <w:rsid w:val="004A4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390279">
      <w:bodyDiv w:val="1"/>
      <w:marLeft w:val="0"/>
      <w:marRight w:val="0"/>
      <w:marTop w:val="0"/>
      <w:marBottom w:val="0"/>
      <w:divBdr>
        <w:top w:val="none" w:sz="0" w:space="0" w:color="auto"/>
        <w:left w:val="none" w:sz="0" w:space="0" w:color="auto"/>
        <w:bottom w:val="none" w:sz="0" w:space="0" w:color="auto"/>
        <w:right w:val="none" w:sz="0" w:space="0" w:color="auto"/>
      </w:divBdr>
      <w:divsChild>
        <w:div w:id="1642997540">
          <w:marLeft w:val="0"/>
          <w:marRight w:val="0"/>
          <w:marTop w:val="0"/>
          <w:marBottom w:val="0"/>
          <w:divBdr>
            <w:top w:val="none" w:sz="0" w:space="0" w:color="auto"/>
            <w:left w:val="none" w:sz="0" w:space="0" w:color="auto"/>
            <w:bottom w:val="none" w:sz="0" w:space="0" w:color="auto"/>
            <w:right w:val="none" w:sz="0" w:space="0" w:color="auto"/>
          </w:divBdr>
        </w:div>
      </w:divsChild>
    </w:div>
    <w:div w:id="1022777509">
      <w:bodyDiv w:val="1"/>
      <w:marLeft w:val="0"/>
      <w:marRight w:val="0"/>
      <w:marTop w:val="0"/>
      <w:marBottom w:val="0"/>
      <w:divBdr>
        <w:top w:val="none" w:sz="0" w:space="0" w:color="auto"/>
        <w:left w:val="none" w:sz="0" w:space="0" w:color="auto"/>
        <w:bottom w:val="none" w:sz="0" w:space="0" w:color="auto"/>
        <w:right w:val="none" w:sz="0" w:space="0" w:color="auto"/>
      </w:divBdr>
    </w:div>
    <w:div w:id="1140654761">
      <w:bodyDiv w:val="1"/>
      <w:marLeft w:val="0"/>
      <w:marRight w:val="0"/>
      <w:marTop w:val="0"/>
      <w:marBottom w:val="0"/>
      <w:divBdr>
        <w:top w:val="none" w:sz="0" w:space="0" w:color="auto"/>
        <w:left w:val="none" w:sz="0" w:space="0" w:color="auto"/>
        <w:bottom w:val="none" w:sz="0" w:space="0" w:color="auto"/>
        <w:right w:val="none" w:sz="0" w:space="0" w:color="auto"/>
      </w:divBdr>
    </w:div>
    <w:div w:id="1145316794">
      <w:bodyDiv w:val="1"/>
      <w:marLeft w:val="0"/>
      <w:marRight w:val="0"/>
      <w:marTop w:val="0"/>
      <w:marBottom w:val="0"/>
      <w:divBdr>
        <w:top w:val="none" w:sz="0" w:space="0" w:color="auto"/>
        <w:left w:val="none" w:sz="0" w:space="0" w:color="auto"/>
        <w:bottom w:val="none" w:sz="0" w:space="0" w:color="auto"/>
        <w:right w:val="none" w:sz="0" w:space="0" w:color="auto"/>
      </w:divBdr>
      <w:divsChild>
        <w:div w:id="662666206">
          <w:marLeft w:val="-225"/>
          <w:marRight w:val="-225"/>
          <w:marTop w:val="0"/>
          <w:marBottom w:val="0"/>
          <w:divBdr>
            <w:top w:val="none" w:sz="0" w:space="0" w:color="auto"/>
            <w:left w:val="none" w:sz="0" w:space="0" w:color="auto"/>
            <w:bottom w:val="none" w:sz="0" w:space="0" w:color="auto"/>
            <w:right w:val="none" w:sz="0" w:space="0" w:color="auto"/>
          </w:divBdr>
          <w:divsChild>
            <w:div w:id="1534463271">
              <w:marLeft w:val="0"/>
              <w:marRight w:val="0"/>
              <w:marTop w:val="0"/>
              <w:marBottom w:val="0"/>
              <w:divBdr>
                <w:top w:val="none" w:sz="0" w:space="0" w:color="auto"/>
                <w:left w:val="none" w:sz="0" w:space="0" w:color="auto"/>
                <w:bottom w:val="none" w:sz="0" w:space="0" w:color="auto"/>
                <w:right w:val="none" w:sz="0" w:space="0" w:color="auto"/>
              </w:divBdr>
            </w:div>
          </w:divsChild>
        </w:div>
        <w:div w:id="1241594955">
          <w:marLeft w:val="-225"/>
          <w:marRight w:val="-225"/>
          <w:marTop w:val="0"/>
          <w:marBottom w:val="0"/>
          <w:divBdr>
            <w:top w:val="none" w:sz="0" w:space="0" w:color="auto"/>
            <w:left w:val="none" w:sz="0" w:space="0" w:color="auto"/>
            <w:bottom w:val="none" w:sz="0" w:space="0" w:color="auto"/>
            <w:right w:val="none" w:sz="0" w:space="0" w:color="auto"/>
          </w:divBdr>
          <w:divsChild>
            <w:div w:id="752431770">
              <w:marLeft w:val="0"/>
              <w:marRight w:val="0"/>
              <w:marTop w:val="0"/>
              <w:marBottom w:val="0"/>
              <w:divBdr>
                <w:top w:val="none" w:sz="0" w:space="0" w:color="auto"/>
                <w:left w:val="none" w:sz="0" w:space="0" w:color="auto"/>
                <w:bottom w:val="none" w:sz="0" w:space="0" w:color="auto"/>
                <w:right w:val="none" w:sz="0" w:space="0" w:color="auto"/>
              </w:divBdr>
            </w:div>
          </w:divsChild>
        </w:div>
        <w:div w:id="132909552">
          <w:marLeft w:val="-225"/>
          <w:marRight w:val="-225"/>
          <w:marTop w:val="0"/>
          <w:marBottom w:val="0"/>
          <w:divBdr>
            <w:top w:val="none" w:sz="0" w:space="0" w:color="auto"/>
            <w:left w:val="none" w:sz="0" w:space="0" w:color="auto"/>
            <w:bottom w:val="none" w:sz="0" w:space="0" w:color="auto"/>
            <w:right w:val="none" w:sz="0" w:space="0" w:color="auto"/>
          </w:divBdr>
          <w:divsChild>
            <w:div w:id="762456467">
              <w:marLeft w:val="0"/>
              <w:marRight w:val="0"/>
              <w:marTop w:val="0"/>
              <w:marBottom w:val="0"/>
              <w:divBdr>
                <w:top w:val="none" w:sz="0" w:space="0" w:color="auto"/>
                <w:left w:val="none" w:sz="0" w:space="0" w:color="auto"/>
                <w:bottom w:val="none" w:sz="0" w:space="0" w:color="auto"/>
                <w:right w:val="none" w:sz="0" w:space="0" w:color="auto"/>
              </w:divBdr>
            </w:div>
          </w:divsChild>
        </w:div>
        <w:div w:id="1734306739">
          <w:marLeft w:val="-225"/>
          <w:marRight w:val="-225"/>
          <w:marTop w:val="0"/>
          <w:marBottom w:val="0"/>
          <w:divBdr>
            <w:top w:val="none" w:sz="0" w:space="0" w:color="auto"/>
            <w:left w:val="none" w:sz="0" w:space="0" w:color="auto"/>
            <w:bottom w:val="none" w:sz="0" w:space="0" w:color="auto"/>
            <w:right w:val="none" w:sz="0" w:space="0" w:color="auto"/>
          </w:divBdr>
          <w:divsChild>
            <w:div w:id="879050252">
              <w:marLeft w:val="0"/>
              <w:marRight w:val="0"/>
              <w:marTop w:val="0"/>
              <w:marBottom w:val="0"/>
              <w:divBdr>
                <w:top w:val="none" w:sz="0" w:space="0" w:color="auto"/>
                <w:left w:val="none" w:sz="0" w:space="0" w:color="auto"/>
                <w:bottom w:val="none" w:sz="0" w:space="0" w:color="auto"/>
                <w:right w:val="none" w:sz="0" w:space="0" w:color="auto"/>
              </w:divBdr>
            </w:div>
          </w:divsChild>
        </w:div>
        <w:div w:id="612714786">
          <w:marLeft w:val="-225"/>
          <w:marRight w:val="-225"/>
          <w:marTop w:val="0"/>
          <w:marBottom w:val="0"/>
          <w:divBdr>
            <w:top w:val="none" w:sz="0" w:space="0" w:color="auto"/>
            <w:left w:val="none" w:sz="0" w:space="0" w:color="auto"/>
            <w:bottom w:val="none" w:sz="0" w:space="0" w:color="auto"/>
            <w:right w:val="none" w:sz="0" w:space="0" w:color="auto"/>
          </w:divBdr>
          <w:divsChild>
            <w:div w:id="1631479209">
              <w:marLeft w:val="0"/>
              <w:marRight w:val="0"/>
              <w:marTop w:val="0"/>
              <w:marBottom w:val="0"/>
              <w:divBdr>
                <w:top w:val="none" w:sz="0" w:space="0" w:color="auto"/>
                <w:left w:val="none" w:sz="0" w:space="0" w:color="auto"/>
                <w:bottom w:val="none" w:sz="0" w:space="0" w:color="auto"/>
                <w:right w:val="none" w:sz="0" w:space="0" w:color="auto"/>
              </w:divBdr>
            </w:div>
          </w:divsChild>
        </w:div>
        <w:div w:id="1369994041">
          <w:marLeft w:val="-225"/>
          <w:marRight w:val="-225"/>
          <w:marTop w:val="0"/>
          <w:marBottom w:val="0"/>
          <w:divBdr>
            <w:top w:val="none" w:sz="0" w:space="0" w:color="auto"/>
            <w:left w:val="none" w:sz="0" w:space="0" w:color="auto"/>
            <w:bottom w:val="none" w:sz="0" w:space="0" w:color="auto"/>
            <w:right w:val="none" w:sz="0" w:space="0" w:color="auto"/>
          </w:divBdr>
          <w:divsChild>
            <w:div w:id="1075514334">
              <w:marLeft w:val="0"/>
              <w:marRight w:val="0"/>
              <w:marTop w:val="0"/>
              <w:marBottom w:val="0"/>
              <w:divBdr>
                <w:top w:val="none" w:sz="0" w:space="0" w:color="auto"/>
                <w:left w:val="none" w:sz="0" w:space="0" w:color="auto"/>
                <w:bottom w:val="none" w:sz="0" w:space="0" w:color="auto"/>
                <w:right w:val="none" w:sz="0" w:space="0" w:color="auto"/>
              </w:divBdr>
            </w:div>
          </w:divsChild>
        </w:div>
        <w:div w:id="1874609470">
          <w:marLeft w:val="-225"/>
          <w:marRight w:val="-225"/>
          <w:marTop w:val="0"/>
          <w:marBottom w:val="0"/>
          <w:divBdr>
            <w:top w:val="none" w:sz="0" w:space="0" w:color="auto"/>
            <w:left w:val="none" w:sz="0" w:space="0" w:color="auto"/>
            <w:bottom w:val="none" w:sz="0" w:space="0" w:color="auto"/>
            <w:right w:val="none" w:sz="0" w:space="0" w:color="auto"/>
          </w:divBdr>
          <w:divsChild>
            <w:div w:id="1850605838">
              <w:marLeft w:val="0"/>
              <w:marRight w:val="0"/>
              <w:marTop w:val="0"/>
              <w:marBottom w:val="0"/>
              <w:divBdr>
                <w:top w:val="none" w:sz="0" w:space="0" w:color="auto"/>
                <w:left w:val="none" w:sz="0" w:space="0" w:color="auto"/>
                <w:bottom w:val="none" w:sz="0" w:space="0" w:color="auto"/>
                <w:right w:val="none" w:sz="0" w:space="0" w:color="auto"/>
              </w:divBdr>
            </w:div>
          </w:divsChild>
        </w:div>
        <w:div w:id="224143878">
          <w:marLeft w:val="-225"/>
          <w:marRight w:val="-225"/>
          <w:marTop w:val="0"/>
          <w:marBottom w:val="0"/>
          <w:divBdr>
            <w:top w:val="none" w:sz="0" w:space="0" w:color="auto"/>
            <w:left w:val="none" w:sz="0" w:space="0" w:color="auto"/>
            <w:bottom w:val="none" w:sz="0" w:space="0" w:color="auto"/>
            <w:right w:val="none" w:sz="0" w:space="0" w:color="auto"/>
          </w:divBdr>
          <w:divsChild>
            <w:div w:id="2098014735">
              <w:marLeft w:val="0"/>
              <w:marRight w:val="0"/>
              <w:marTop w:val="0"/>
              <w:marBottom w:val="0"/>
              <w:divBdr>
                <w:top w:val="none" w:sz="0" w:space="0" w:color="auto"/>
                <w:left w:val="none" w:sz="0" w:space="0" w:color="auto"/>
                <w:bottom w:val="none" w:sz="0" w:space="0" w:color="auto"/>
                <w:right w:val="none" w:sz="0" w:space="0" w:color="auto"/>
              </w:divBdr>
            </w:div>
          </w:divsChild>
        </w:div>
        <w:div w:id="274214827">
          <w:marLeft w:val="-225"/>
          <w:marRight w:val="-225"/>
          <w:marTop w:val="0"/>
          <w:marBottom w:val="0"/>
          <w:divBdr>
            <w:top w:val="none" w:sz="0" w:space="0" w:color="auto"/>
            <w:left w:val="none" w:sz="0" w:space="0" w:color="auto"/>
            <w:bottom w:val="none" w:sz="0" w:space="0" w:color="auto"/>
            <w:right w:val="none" w:sz="0" w:space="0" w:color="auto"/>
          </w:divBdr>
          <w:divsChild>
            <w:div w:id="810056273">
              <w:marLeft w:val="0"/>
              <w:marRight w:val="0"/>
              <w:marTop w:val="0"/>
              <w:marBottom w:val="0"/>
              <w:divBdr>
                <w:top w:val="none" w:sz="0" w:space="0" w:color="auto"/>
                <w:left w:val="none" w:sz="0" w:space="0" w:color="auto"/>
                <w:bottom w:val="none" w:sz="0" w:space="0" w:color="auto"/>
                <w:right w:val="none" w:sz="0" w:space="0" w:color="auto"/>
              </w:divBdr>
            </w:div>
          </w:divsChild>
        </w:div>
        <w:div w:id="119107365">
          <w:marLeft w:val="-225"/>
          <w:marRight w:val="-225"/>
          <w:marTop w:val="0"/>
          <w:marBottom w:val="0"/>
          <w:divBdr>
            <w:top w:val="none" w:sz="0" w:space="0" w:color="auto"/>
            <w:left w:val="none" w:sz="0" w:space="0" w:color="auto"/>
            <w:bottom w:val="none" w:sz="0" w:space="0" w:color="auto"/>
            <w:right w:val="none" w:sz="0" w:space="0" w:color="auto"/>
          </w:divBdr>
          <w:divsChild>
            <w:div w:id="1548294353">
              <w:marLeft w:val="0"/>
              <w:marRight w:val="0"/>
              <w:marTop w:val="0"/>
              <w:marBottom w:val="0"/>
              <w:divBdr>
                <w:top w:val="none" w:sz="0" w:space="0" w:color="auto"/>
                <w:left w:val="none" w:sz="0" w:space="0" w:color="auto"/>
                <w:bottom w:val="none" w:sz="0" w:space="0" w:color="auto"/>
                <w:right w:val="none" w:sz="0" w:space="0" w:color="auto"/>
              </w:divBdr>
            </w:div>
          </w:divsChild>
        </w:div>
        <w:div w:id="345449272">
          <w:marLeft w:val="-225"/>
          <w:marRight w:val="-225"/>
          <w:marTop w:val="0"/>
          <w:marBottom w:val="0"/>
          <w:divBdr>
            <w:top w:val="none" w:sz="0" w:space="0" w:color="auto"/>
            <w:left w:val="none" w:sz="0" w:space="0" w:color="auto"/>
            <w:bottom w:val="none" w:sz="0" w:space="0" w:color="auto"/>
            <w:right w:val="none" w:sz="0" w:space="0" w:color="auto"/>
          </w:divBdr>
          <w:divsChild>
            <w:div w:id="3826308">
              <w:marLeft w:val="0"/>
              <w:marRight w:val="0"/>
              <w:marTop w:val="0"/>
              <w:marBottom w:val="0"/>
              <w:divBdr>
                <w:top w:val="none" w:sz="0" w:space="0" w:color="auto"/>
                <w:left w:val="none" w:sz="0" w:space="0" w:color="auto"/>
                <w:bottom w:val="none" w:sz="0" w:space="0" w:color="auto"/>
                <w:right w:val="none" w:sz="0" w:space="0" w:color="auto"/>
              </w:divBdr>
            </w:div>
          </w:divsChild>
        </w:div>
        <w:div w:id="1686903562">
          <w:marLeft w:val="-225"/>
          <w:marRight w:val="-225"/>
          <w:marTop w:val="0"/>
          <w:marBottom w:val="0"/>
          <w:divBdr>
            <w:top w:val="none" w:sz="0" w:space="0" w:color="auto"/>
            <w:left w:val="none" w:sz="0" w:space="0" w:color="auto"/>
            <w:bottom w:val="none" w:sz="0" w:space="0" w:color="auto"/>
            <w:right w:val="none" w:sz="0" w:space="0" w:color="auto"/>
          </w:divBdr>
          <w:divsChild>
            <w:div w:id="684551632">
              <w:marLeft w:val="0"/>
              <w:marRight w:val="0"/>
              <w:marTop w:val="0"/>
              <w:marBottom w:val="0"/>
              <w:divBdr>
                <w:top w:val="none" w:sz="0" w:space="0" w:color="auto"/>
                <w:left w:val="none" w:sz="0" w:space="0" w:color="auto"/>
                <w:bottom w:val="none" w:sz="0" w:space="0" w:color="auto"/>
                <w:right w:val="none" w:sz="0" w:space="0" w:color="auto"/>
              </w:divBdr>
            </w:div>
          </w:divsChild>
        </w:div>
        <w:div w:id="1186598568">
          <w:marLeft w:val="-225"/>
          <w:marRight w:val="-225"/>
          <w:marTop w:val="0"/>
          <w:marBottom w:val="0"/>
          <w:divBdr>
            <w:top w:val="none" w:sz="0" w:space="0" w:color="auto"/>
            <w:left w:val="none" w:sz="0" w:space="0" w:color="auto"/>
            <w:bottom w:val="none" w:sz="0" w:space="0" w:color="auto"/>
            <w:right w:val="none" w:sz="0" w:space="0" w:color="auto"/>
          </w:divBdr>
          <w:divsChild>
            <w:div w:id="1834831409">
              <w:marLeft w:val="0"/>
              <w:marRight w:val="0"/>
              <w:marTop w:val="0"/>
              <w:marBottom w:val="0"/>
              <w:divBdr>
                <w:top w:val="none" w:sz="0" w:space="0" w:color="auto"/>
                <w:left w:val="none" w:sz="0" w:space="0" w:color="auto"/>
                <w:bottom w:val="none" w:sz="0" w:space="0" w:color="auto"/>
                <w:right w:val="none" w:sz="0" w:space="0" w:color="auto"/>
              </w:divBdr>
            </w:div>
          </w:divsChild>
        </w:div>
        <w:div w:id="1129015565">
          <w:marLeft w:val="-225"/>
          <w:marRight w:val="-225"/>
          <w:marTop w:val="0"/>
          <w:marBottom w:val="0"/>
          <w:divBdr>
            <w:top w:val="none" w:sz="0" w:space="0" w:color="auto"/>
            <w:left w:val="none" w:sz="0" w:space="0" w:color="auto"/>
            <w:bottom w:val="none" w:sz="0" w:space="0" w:color="auto"/>
            <w:right w:val="none" w:sz="0" w:space="0" w:color="auto"/>
          </w:divBdr>
          <w:divsChild>
            <w:div w:id="1316564186">
              <w:marLeft w:val="0"/>
              <w:marRight w:val="0"/>
              <w:marTop w:val="0"/>
              <w:marBottom w:val="0"/>
              <w:divBdr>
                <w:top w:val="none" w:sz="0" w:space="0" w:color="auto"/>
                <w:left w:val="none" w:sz="0" w:space="0" w:color="auto"/>
                <w:bottom w:val="none" w:sz="0" w:space="0" w:color="auto"/>
                <w:right w:val="none" w:sz="0" w:space="0" w:color="auto"/>
              </w:divBdr>
            </w:div>
          </w:divsChild>
        </w:div>
        <w:div w:id="1796097661">
          <w:marLeft w:val="-225"/>
          <w:marRight w:val="-225"/>
          <w:marTop w:val="0"/>
          <w:marBottom w:val="0"/>
          <w:divBdr>
            <w:top w:val="none" w:sz="0" w:space="0" w:color="auto"/>
            <w:left w:val="none" w:sz="0" w:space="0" w:color="auto"/>
            <w:bottom w:val="none" w:sz="0" w:space="0" w:color="auto"/>
            <w:right w:val="none" w:sz="0" w:space="0" w:color="auto"/>
          </w:divBdr>
          <w:divsChild>
            <w:div w:id="1300770001">
              <w:marLeft w:val="0"/>
              <w:marRight w:val="0"/>
              <w:marTop w:val="0"/>
              <w:marBottom w:val="0"/>
              <w:divBdr>
                <w:top w:val="none" w:sz="0" w:space="0" w:color="auto"/>
                <w:left w:val="none" w:sz="0" w:space="0" w:color="auto"/>
                <w:bottom w:val="none" w:sz="0" w:space="0" w:color="auto"/>
                <w:right w:val="none" w:sz="0" w:space="0" w:color="auto"/>
              </w:divBdr>
            </w:div>
          </w:divsChild>
        </w:div>
        <w:div w:id="1736581687">
          <w:marLeft w:val="-225"/>
          <w:marRight w:val="-225"/>
          <w:marTop w:val="0"/>
          <w:marBottom w:val="0"/>
          <w:divBdr>
            <w:top w:val="none" w:sz="0" w:space="0" w:color="auto"/>
            <w:left w:val="none" w:sz="0" w:space="0" w:color="auto"/>
            <w:bottom w:val="none" w:sz="0" w:space="0" w:color="auto"/>
            <w:right w:val="none" w:sz="0" w:space="0" w:color="auto"/>
          </w:divBdr>
          <w:divsChild>
            <w:div w:id="1034623054">
              <w:marLeft w:val="0"/>
              <w:marRight w:val="0"/>
              <w:marTop w:val="0"/>
              <w:marBottom w:val="0"/>
              <w:divBdr>
                <w:top w:val="none" w:sz="0" w:space="0" w:color="auto"/>
                <w:left w:val="none" w:sz="0" w:space="0" w:color="auto"/>
                <w:bottom w:val="none" w:sz="0" w:space="0" w:color="auto"/>
                <w:right w:val="none" w:sz="0" w:space="0" w:color="auto"/>
              </w:divBdr>
            </w:div>
          </w:divsChild>
        </w:div>
        <w:div w:id="751515077">
          <w:marLeft w:val="-225"/>
          <w:marRight w:val="-225"/>
          <w:marTop w:val="0"/>
          <w:marBottom w:val="0"/>
          <w:divBdr>
            <w:top w:val="none" w:sz="0" w:space="0" w:color="auto"/>
            <w:left w:val="none" w:sz="0" w:space="0" w:color="auto"/>
            <w:bottom w:val="none" w:sz="0" w:space="0" w:color="auto"/>
            <w:right w:val="none" w:sz="0" w:space="0" w:color="auto"/>
          </w:divBdr>
          <w:divsChild>
            <w:div w:id="733553207">
              <w:marLeft w:val="0"/>
              <w:marRight w:val="0"/>
              <w:marTop w:val="0"/>
              <w:marBottom w:val="0"/>
              <w:divBdr>
                <w:top w:val="none" w:sz="0" w:space="0" w:color="auto"/>
                <w:left w:val="none" w:sz="0" w:space="0" w:color="auto"/>
                <w:bottom w:val="none" w:sz="0" w:space="0" w:color="auto"/>
                <w:right w:val="none" w:sz="0" w:space="0" w:color="auto"/>
              </w:divBdr>
            </w:div>
          </w:divsChild>
        </w:div>
        <w:div w:id="330303048">
          <w:marLeft w:val="-225"/>
          <w:marRight w:val="-225"/>
          <w:marTop w:val="0"/>
          <w:marBottom w:val="0"/>
          <w:divBdr>
            <w:top w:val="none" w:sz="0" w:space="0" w:color="auto"/>
            <w:left w:val="none" w:sz="0" w:space="0" w:color="auto"/>
            <w:bottom w:val="none" w:sz="0" w:space="0" w:color="auto"/>
            <w:right w:val="none" w:sz="0" w:space="0" w:color="auto"/>
          </w:divBdr>
          <w:divsChild>
            <w:div w:id="1305700116">
              <w:marLeft w:val="0"/>
              <w:marRight w:val="0"/>
              <w:marTop w:val="0"/>
              <w:marBottom w:val="0"/>
              <w:divBdr>
                <w:top w:val="none" w:sz="0" w:space="0" w:color="auto"/>
                <w:left w:val="none" w:sz="0" w:space="0" w:color="auto"/>
                <w:bottom w:val="none" w:sz="0" w:space="0" w:color="auto"/>
                <w:right w:val="none" w:sz="0" w:space="0" w:color="auto"/>
              </w:divBdr>
            </w:div>
          </w:divsChild>
        </w:div>
        <w:div w:id="1757240402">
          <w:marLeft w:val="-225"/>
          <w:marRight w:val="-225"/>
          <w:marTop w:val="0"/>
          <w:marBottom w:val="0"/>
          <w:divBdr>
            <w:top w:val="none" w:sz="0" w:space="0" w:color="auto"/>
            <w:left w:val="none" w:sz="0" w:space="0" w:color="auto"/>
            <w:bottom w:val="none" w:sz="0" w:space="0" w:color="auto"/>
            <w:right w:val="none" w:sz="0" w:space="0" w:color="auto"/>
          </w:divBdr>
          <w:divsChild>
            <w:div w:id="2014839998">
              <w:marLeft w:val="0"/>
              <w:marRight w:val="0"/>
              <w:marTop w:val="0"/>
              <w:marBottom w:val="0"/>
              <w:divBdr>
                <w:top w:val="none" w:sz="0" w:space="0" w:color="auto"/>
                <w:left w:val="none" w:sz="0" w:space="0" w:color="auto"/>
                <w:bottom w:val="none" w:sz="0" w:space="0" w:color="auto"/>
                <w:right w:val="none" w:sz="0" w:space="0" w:color="auto"/>
              </w:divBdr>
            </w:div>
          </w:divsChild>
        </w:div>
        <w:div w:id="1111123873">
          <w:marLeft w:val="-225"/>
          <w:marRight w:val="-225"/>
          <w:marTop w:val="0"/>
          <w:marBottom w:val="0"/>
          <w:divBdr>
            <w:top w:val="none" w:sz="0" w:space="0" w:color="auto"/>
            <w:left w:val="none" w:sz="0" w:space="0" w:color="auto"/>
            <w:bottom w:val="none" w:sz="0" w:space="0" w:color="auto"/>
            <w:right w:val="none" w:sz="0" w:space="0" w:color="auto"/>
          </w:divBdr>
          <w:divsChild>
            <w:div w:id="1555852170">
              <w:marLeft w:val="0"/>
              <w:marRight w:val="0"/>
              <w:marTop w:val="0"/>
              <w:marBottom w:val="0"/>
              <w:divBdr>
                <w:top w:val="none" w:sz="0" w:space="0" w:color="auto"/>
                <w:left w:val="none" w:sz="0" w:space="0" w:color="auto"/>
                <w:bottom w:val="none" w:sz="0" w:space="0" w:color="auto"/>
                <w:right w:val="none" w:sz="0" w:space="0" w:color="auto"/>
              </w:divBdr>
            </w:div>
          </w:divsChild>
        </w:div>
        <w:div w:id="2006468406">
          <w:marLeft w:val="-225"/>
          <w:marRight w:val="-225"/>
          <w:marTop w:val="0"/>
          <w:marBottom w:val="0"/>
          <w:divBdr>
            <w:top w:val="none" w:sz="0" w:space="0" w:color="auto"/>
            <w:left w:val="none" w:sz="0" w:space="0" w:color="auto"/>
            <w:bottom w:val="none" w:sz="0" w:space="0" w:color="auto"/>
            <w:right w:val="none" w:sz="0" w:space="0" w:color="auto"/>
          </w:divBdr>
          <w:divsChild>
            <w:div w:id="578905348">
              <w:marLeft w:val="0"/>
              <w:marRight w:val="0"/>
              <w:marTop w:val="0"/>
              <w:marBottom w:val="0"/>
              <w:divBdr>
                <w:top w:val="none" w:sz="0" w:space="0" w:color="auto"/>
                <w:left w:val="none" w:sz="0" w:space="0" w:color="auto"/>
                <w:bottom w:val="none" w:sz="0" w:space="0" w:color="auto"/>
                <w:right w:val="none" w:sz="0" w:space="0" w:color="auto"/>
              </w:divBdr>
            </w:div>
          </w:divsChild>
        </w:div>
        <w:div w:id="1252662525">
          <w:marLeft w:val="-225"/>
          <w:marRight w:val="-225"/>
          <w:marTop w:val="0"/>
          <w:marBottom w:val="0"/>
          <w:divBdr>
            <w:top w:val="none" w:sz="0" w:space="0" w:color="auto"/>
            <w:left w:val="none" w:sz="0" w:space="0" w:color="auto"/>
            <w:bottom w:val="none" w:sz="0" w:space="0" w:color="auto"/>
            <w:right w:val="none" w:sz="0" w:space="0" w:color="auto"/>
          </w:divBdr>
          <w:divsChild>
            <w:div w:id="293294584">
              <w:marLeft w:val="0"/>
              <w:marRight w:val="0"/>
              <w:marTop w:val="0"/>
              <w:marBottom w:val="0"/>
              <w:divBdr>
                <w:top w:val="none" w:sz="0" w:space="0" w:color="auto"/>
                <w:left w:val="none" w:sz="0" w:space="0" w:color="auto"/>
                <w:bottom w:val="none" w:sz="0" w:space="0" w:color="auto"/>
                <w:right w:val="none" w:sz="0" w:space="0" w:color="auto"/>
              </w:divBdr>
            </w:div>
          </w:divsChild>
        </w:div>
        <w:div w:id="1113672590">
          <w:marLeft w:val="-225"/>
          <w:marRight w:val="-225"/>
          <w:marTop w:val="0"/>
          <w:marBottom w:val="0"/>
          <w:divBdr>
            <w:top w:val="none" w:sz="0" w:space="0" w:color="auto"/>
            <w:left w:val="none" w:sz="0" w:space="0" w:color="auto"/>
            <w:bottom w:val="none" w:sz="0" w:space="0" w:color="auto"/>
            <w:right w:val="none" w:sz="0" w:space="0" w:color="auto"/>
          </w:divBdr>
          <w:divsChild>
            <w:div w:id="868101545">
              <w:marLeft w:val="0"/>
              <w:marRight w:val="0"/>
              <w:marTop w:val="0"/>
              <w:marBottom w:val="0"/>
              <w:divBdr>
                <w:top w:val="none" w:sz="0" w:space="0" w:color="auto"/>
                <w:left w:val="none" w:sz="0" w:space="0" w:color="auto"/>
                <w:bottom w:val="none" w:sz="0" w:space="0" w:color="auto"/>
                <w:right w:val="none" w:sz="0" w:space="0" w:color="auto"/>
              </w:divBdr>
            </w:div>
          </w:divsChild>
        </w:div>
        <w:div w:id="1105925727">
          <w:marLeft w:val="-225"/>
          <w:marRight w:val="-225"/>
          <w:marTop w:val="0"/>
          <w:marBottom w:val="0"/>
          <w:divBdr>
            <w:top w:val="none" w:sz="0" w:space="0" w:color="auto"/>
            <w:left w:val="none" w:sz="0" w:space="0" w:color="auto"/>
            <w:bottom w:val="none" w:sz="0" w:space="0" w:color="auto"/>
            <w:right w:val="none" w:sz="0" w:space="0" w:color="auto"/>
          </w:divBdr>
          <w:divsChild>
            <w:div w:id="527177478">
              <w:marLeft w:val="0"/>
              <w:marRight w:val="0"/>
              <w:marTop w:val="0"/>
              <w:marBottom w:val="0"/>
              <w:divBdr>
                <w:top w:val="none" w:sz="0" w:space="0" w:color="auto"/>
                <w:left w:val="none" w:sz="0" w:space="0" w:color="auto"/>
                <w:bottom w:val="none" w:sz="0" w:space="0" w:color="auto"/>
                <w:right w:val="none" w:sz="0" w:space="0" w:color="auto"/>
              </w:divBdr>
            </w:div>
          </w:divsChild>
        </w:div>
        <w:div w:id="558251069">
          <w:marLeft w:val="-225"/>
          <w:marRight w:val="-225"/>
          <w:marTop w:val="0"/>
          <w:marBottom w:val="0"/>
          <w:divBdr>
            <w:top w:val="none" w:sz="0" w:space="0" w:color="auto"/>
            <w:left w:val="none" w:sz="0" w:space="0" w:color="auto"/>
            <w:bottom w:val="none" w:sz="0" w:space="0" w:color="auto"/>
            <w:right w:val="none" w:sz="0" w:space="0" w:color="auto"/>
          </w:divBdr>
          <w:divsChild>
            <w:div w:id="1059011138">
              <w:marLeft w:val="0"/>
              <w:marRight w:val="0"/>
              <w:marTop w:val="0"/>
              <w:marBottom w:val="0"/>
              <w:divBdr>
                <w:top w:val="none" w:sz="0" w:space="0" w:color="auto"/>
                <w:left w:val="none" w:sz="0" w:space="0" w:color="auto"/>
                <w:bottom w:val="none" w:sz="0" w:space="0" w:color="auto"/>
                <w:right w:val="none" w:sz="0" w:space="0" w:color="auto"/>
              </w:divBdr>
            </w:div>
          </w:divsChild>
        </w:div>
        <w:div w:id="99421871">
          <w:marLeft w:val="-225"/>
          <w:marRight w:val="-225"/>
          <w:marTop w:val="0"/>
          <w:marBottom w:val="0"/>
          <w:divBdr>
            <w:top w:val="none" w:sz="0" w:space="0" w:color="auto"/>
            <w:left w:val="none" w:sz="0" w:space="0" w:color="auto"/>
            <w:bottom w:val="none" w:sz="0" w:space="0" w:color="auto"/>
            <w:right w:val="none" w:sz="0" w:space="0" w:color="auto"/>
          </w:divBdr>
          <w:divsChild>
            <w:div w:id="319769949">
              <w:marLeft w:val="0"/>
              <w:marRight w:val="0"/>
              <w:marTop w:val="0"/>
              <w:marBottom w:val="0"/>
              <w:divBdr>
                <w:top w:val="none" w:sz="0" w:space="0" w:color="auto"/>
                <w:left w:val="none" w:sz="0" w:space="0" w:color="auto"/>
                <w:bottom w:val="none" w:sz="0" w:space="0" w:color="auto"/>
                <w:right w:val="none" w:sz="0" w:space="0" w:color="auto"/>
              </w:divBdr>
            </w:div>
          </w:divsChild>
        </w:div>
        <w:div w:id="1010108867">
          <w:marLeft w:val="-225"/>
          <w:marRight w:val="-225"/>
          <w:marTop w:val="0"/>
          <w:marBottom w:val="0"/>
          <w:divBdr>
            <w:top w:val="none" w:sz="0" w:space="0" w:color="auto"/>
            <w:left w:val="none" w:sz="0" w:space="0" w:color="auto"/>
            <w:bottom w:val="none" w:sz="0" w:space="0" w:color="auto"/>
            <w:right w:val="none" w:sz="0" w:space="0" w:color="auto"/>
          </w:divBdr>
          <w:divsChild>
            <w:div w:id="1841310064">
              <w:marLeft w:val="0"/>
              <w:marRight w:val="0"/>
              <w:marTop w:val="0"/>
              <w:marBottom w:val="0"/>
              <w:divBdr>
                <w:top w:val="none" w:sz="0" w:space="0" w:color="auto"/>
                <w:left w:val="none" w:sz="0" w:space="0" w:color="auto"/>
                <w:bottom w:val="none" w:sz="0" w:space="0" w:color="auto"/>
                <w:right w:val="none" w:sz="0" w:space="0" w:color="auto"/>
              </w:divBdr>
            </w:div>
          </w:divsChild>
        </w:div>
        <w:div w:id="1160384692">
          <w:marLeft w:val="-225"/>
          <w:marRight w:val="-225"/>
          <w:marTop w:val="0"/>
          <w:marBottom w:val="0"/>
          <w:divBdr>
            <w:top w:val="none" w:sz="0" w:space="0" w:color="auto"/>
            <w:left w:val="none" w:sz="0" w:space="0" w:color="auto"/>
            <w:bottom w:val="none" w:sz="0" w:space="0" w:color="auto"/>
            <w:right w:val="none" w:sz="0" w:space="0" w:color="auto"/>
          </w:divBdr>
          <w:divsChild>
            <w:div w:id="340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8083">
      <w:bodyDiv w:val="1"/>
      <w:marLeft w:val="0"/>
      <w:marRight w:val="0"/>
      <w:marTop w:val="0"/>
      <w:marBottom w:val="0"/>
      <w:divBdr>
        <w:top w:val="none" w:sz="0" w:space="0" w:color="auto"/>
        <w:left w:val="none" w:sz="0" w:space="0" w:color="auto"/>
        <w:bottom w:val="none" w:sz="0" w:space="0" w:color="auto"/>
        <w:right w:val="none" w:sz="0" w:space="0" w:color="auto"/>
      </w:divBdr>
    </w:div>
    <w:div w:id="1417171167">
      <w:bodyDiv w:val="1"/>
      <w:marLeft w:val="0"/>
      <w:marRight w:val="0"/>
      <w:marTop w:val="0"/>
      <w:marBottom w:val="0"/>
      <w:divBdr>
        <w:top w:val="none" w:sz="0" w:space="0" w:color="auto"/>
        <w:left w:val="none" w:sz="0" w:space="0" w:color="auto"/>
        <w:bottom w:val="none" w:sz="0" w:space="0" w:color="auto"/>
        <w:right w:val="none" w:sz="0" w:space="0" w:color="auto"/>
      </w:divBdr>
      <w:divsChild>
        <w:div w:id="2034763094">
          <w:marLeft w:val="0"/>
          <w:marRight w:val="0"/>
          <w:marTop w:val="0"/>
          <w:marBottom w:val="450"/>
          <w:divBdr>
            <w:top w:val="none" w:sz="0" w:space="0" w:color="auto"/>
            <w:left w:val="none" w:sz="0" w:space="0" w:color="auto"/>
            <w:bottom w:val="none" w:sz="0" w:space="0" w:color="auto"/>
            <w:right w:val="none" w:sz="0" w:space="0" w:color="auto"/>
          </w:divBdr>
          <w:divsChild>
            <w:div w:id="1449474192">
              <w:marLeft w:val="0"/>
              <w:marRight w:val="0"/>
              <w:marTop w:val="0"/>
              <w:marBottom w:val="0"/>
              <w:divBdr>
                <w:top w:val="none" w:sz="0" w:space="0" w:color="auto"/>
                <w:left w:val="none" w:sz="0" w:space="0" w:color="auto"/>
                <w:bottom w:val="none" w:sz="0" w:space="0" w:color="auto"/>
                <w:right w:val="none" w:sz="0" w:space="0" w:color="auto"/>
              </w:divBdr>
              <w:divsChild>
                <w:div w:id="137502620">
                  <w:marLeft w:val="0"/>
                  <w:marRight w:val="0"/>
                  <w:marTop w:val="0"/>
                  <w:marBottom w:val="0"/>
                  <w:divBdr>
                    <w:top w:val="none" w:sz="0" w:space="0" w:color="auto"/>
                    <w:left w:val="none" w:sz="0" w:space="0" w:color="auto"/>
                    <w:bottom w:val="none" w:sz="0" w:space="0" w:color="auto"/>
                    <w:right w:val="none" w:sz="0" w:space="0" w:color="auto"/>
                  </w:divBdr>
                </w:div>
                <w:div w:id="4608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611">
      <w:bodyDiv w:val="1"/>
      <w:marLeft w:val="0"/>
      <w:marRight w:val="0"/>
      <w:marTop w:val="0"/>
      <w:marBottom w:val="0"/>
      <w:divBdr>
        <w:top w:val="none" w:sz="0" w:space="0" w:color="auto"/>
        <w:left w:val="none" w:sz="0" w:space="0" w:color="auto"/>
        <w:bottom w:val="none" w:sz="0" w:space="0" w:color="auto"/>
        <w:right w:val="none" w:sz="0" w:space="0" w:color="auto"/>
      </w:divBdr>
    </w:div>
    <w:div w:id="1690371091">
      <w:bodyDiv w:val="1"/>
      <w:marLeft w:val="0"/>
      <w:marRight w:val="0"/>
      <w:marTop w:val="0"/>
      <w:marBottom w:val="0"/>
      <w:divBdr>
        <w:top w:val="none" w:sz="0" w:space="0" w:color="auto"/>
        <w:left w:val="none" w:sz="0" w:space="0" w:color="auto"/>
        <w:bottom w:val="none" w:sz="0" w:space="0" w:color="auto"/>
        <w:right w:val="none" w:sz="0" w:space="0" w:color="auto"/>
      </w:divBdr>
    </w:div>
    <w:div w:id="1834753779">
      <w:bodyDiv w:val="1"/>
      <w:marLeft w:val="0"/>
      <w:marRight w:val="0"/>
      <w:marTop w:val="0"/>
      <w:marBottom w:val="0"/>
      <w:divBdr>
        <w:top w:val="none" w:sz="0" w:space="0" w:color="auto"/>
        <w:left w:val="none" w:sz="0" w:space="0" w:color="auto"/>
        <w:bottom w:val="none" w:sz="0" w:space="0" w:color="auto"/>
        <w:right w:val="none" w:sz="0" w:space="0" w:color="auto"/>
      </w:divBdr>
    </w:div>
    <w:div w:id="1902791214">
      <w:bodyDiv w:val="1"/>
      <w:marLeft w:val="0"/>
      <w:marRight w:val="0"/>
      <w:marTop w:val="0"/>
      <w:marBottom w:val="0"/>
      <w:divBdr>
        <w:top w:val="none" w:sz="0" w:space="0" w:color="auto"/>
        <w:left w:val="none" w:sz="0" w:space="0" w:color="auto"/>
        <w:bottom w:val="none" w:sz="0" w:space="0" w:color="auto"/>
        <w:right w:val="none" w:sz="0" w:space="0" w:color="auto"/>
      </w:divBdr>
    </w:div>
    <w:div w:id="2084644767">
      <w:bodyDiv w:val="1"/>
      <w:marLeft w:val="0"/>
      <w:marRight w:val="0"/>
      <w:marTop w:val="0"/>
      <w:marBottom w:val="0"/>
      <w:divBdr>
        <w:top w:val="none" w:sz="0" w:space="0" w:color="auto"/>
        <w:left w:val="none" w:sz="0" w:space="0" w:color="auto"/>
        <w:bottom w:val="none" w:sz="0" w:space="0" w:color="auto"/>
        <w:right w:val="none" w:sz="0" w:space="0" w:color="auto"/>
      </w:divBdr>
    </w:div>
    <w:div w:id="2116635743">
      <w:bodyDiv w:val="1"/>
      <w:marLeft w:val="0"/>
      <w:marRight w:val="0"/>
      <w:marTop w:val="0"/>
      <w:marBottom w:val="0"/>
      <w:divBdr>
        <w:top w:val="none" w:sz="0" w:space="0" w:color="auto"/>
        <w:left w:val="none" w:sz="0" w:space="0" w:color="auto"/>
        <w:bottom w:val="none" w:sz="0" w:space="0" w:color="auto"/>
        <w:right w:val="none" w:sz="0" w:space="0" w:color="auto"/>
      </w:divBdr>
      <w:divsChild>
        <w:div w:id="103304289">
          <w:marLeft w:val="0"/>
          <w:marRight w:val="0"/>
          <w:marTop w:val="0"/>
          <w:marBottom w:val="0"/>
          <w:divBdr>
            <w:top w:val="single" w:sz="6" w:space="6" w:color="DADCE0"/>
            <w:left w:val="none" w:sz="0" w:space="0" w:color="auto"/>
            <w:bottom w:val="none" w:sz="0" w:space="0" w:color="auto"/>
            <w:right w:val="none" w:sz="0" w:space="0" w:color="auto"/>
          </w:divBdr>
          <w:divsChild>
            <w:div w:id="1845440362">
              <w:marLeft w:val="0"/>
              <w:marRight w:val="120"/>
              <w:marTop w:val="0"/>
              <w:marBottom w:val="0"/>
              <w:divBdr>
                <w:top w:val="none" w:sz="0" w:space="0" w:color="auto"/>
                <w:left w:val="none" w:sz="0" w:space="0" w:color="auto"/>
                <w:bottom w:val="none" w:sz="0" w:space="0" w:color="auto"/>
                <w:right w:val="none" w:sz="0" w:space="0" w:color="auto"/>
              </w:divBdr>
            </w:div>
            <w:div w:id="248587694">
              <w:marLeft w:val="0"/>
              <w:marRight w:val="0"/>
              <w:marTop w:val="0"/>
              <w:marBottom w:val="0"/>
              <w:divBdr>
                <w:top w:val="none" w:sz="0" w:space="0" w:color="auto"/>
                <w:left w:val="none" w:sz="0" w:space="0" w:color="auto"/>
                <w:bottom w:val="none" w:sz="0" w:space="0" w:color="auto"/>
                <w:right w:val="none" w:sz="0" w:space="0" w:color="auto"/>
              </w:divBdr>
            </w:div>
          </w:divsChild>
        </w:div>
        <w:div w:id="513687444">
          <w:marLeft w:val="0"/>
          <w:marRight w:val="0"/>
          <w:marTop w:val="0"/>
          <w:marBottom w:val="0"/>
          <w:divBdr>
            <w:top w:val="single" w:sz="6" w:space="6" w:color="DADCE0"/>
            <w:left w:val="none" w:sz="0" w:space="0" w:color="auto"/>
            <w:bottom w:val="none" w:sz="0" w:space="0" w:color="auto"/>
            <w:right w:val="none" w:sz="0" w:space="0" w:color="auto"/>
          </w:divBdr>
          <w:divsChild>
            <w:div w:id="833373809">
              <w:marLeft w:val="0"/>
              <w:marRight w:val="120"/>
              <w:marTop w:val="0"/>
              <w:marBottom w:val="0"/>
              <w:divBdr>
                <w:top w:val="none" w:sz="0" w:space="0" w:color="auto"/>
                <w:left w:val="none" w:sz="0" w:space="0" w:color="auto"/>
                <w:bottom w:val="none" w:sz="0" w:space="0" w:color="auto"/>
                <w:right w:val="none" w:sz="0" w:space="0" w:color="auto"/>
              </w:divBdr>
            </w:div>
            <w:div w:id="3752889">
              <w:marLeft w:val="0"/>
              <w:marRight w:val="0"/>
              <w:marTop w:val="0"/>
              <w:marBottom w:val="0"/>
              <w:divBdr>
                <w:top w:val="none" w:sz="0" w:space="0" w:color="auto"/>
                <w:left w:val="none" w:sz="0" w:space="0" w:color="auto"/>
                <w:bottom w:val="none" w:sz="0" w:space="0" w:color="auto"/>
                <w:right w:val="none" w:sz="0" w:space="0" w:color="auto"/>
              </w:divBdr>
            </w:div>
          </w:divsChild>
        </w:div>
        <w:div w:id="1011102934">
          <w:marLeft w:val="0"/>
          <w:marRight w:val="0"/>
          <w:marTop w:val="0"/>
          <w:marBottom w:val="0"/>
          <w:divBdr>
            <w:top w:val="single" w:sz="6" w:space="6" w:color="DADCE0"/>
            <w:left w:val="none" w:sz="0" w:space="0" w:color="auto"/>
            <w:bottom w:val="none" w:sz="0" w:space="0" w:color="auto"/>
            <w:right w:val="none" w:sz="0" w:space="0" w:color="auto"/>
          </w:divBdr>
          <w:divsChild>
            <w:div w:id="554434695">
              <w:marLeft w:val="0"/>
              <w:marRight w:val="120"/>
              <w:marTop w:val="0"/>
              <w:marBottom w:val="0"/>
              <w:divBdr>
                <w:top w:val="none" w:sz="0" w:space="0" w:color="auto"/>
                <w:left w:val="none" w:sz="0" w:space="0" w:color="auto"/>
                <w:bottom w:val="none" w:sz="0" w:space="0" w:color="auto"/>
                <w:right w:val="none" w:sz="0" w:space="0" w:color="auto"/>
              </w:divBdr>
            </w:div>
            <w:div w:id="908273211">
              <w:marLeft w:val="0"/>
              <w:marRight w:val="0"/>
              <w:marTop w:val="0"/>
              <w:marBottom w:val="0"/>
              <w:divBdr>
                <w:top w:val="none" w:sz="0" w:space="0" w:color="auto"/>
                <w:left w:val="none" w:sz="0" w:space="0" w:color="auto"/>
                <w:bottom w:val="none" w:sz="0" w:space="0" w:color="auto"/>
                <w:right w:val="none" w:sz="0" w:space="0" w:color="auto"/>
              </w:divBdr>
            </w:div>
          </w:divsChild>
        </w:div>
        <w:div w:id="522596004">
          <w:marLeft w:val="0"/>
          <w:marRight w:val="0"/>
          <w:marTop w:val="0"/>
          <w:marBottom w:val="0"/>
          <w:divBdr>
            <w:top w:val="single" w:sz="6" w:space="6" w:color="DADCE0"/>
            <w:left w:val="none" w:sz="0" w:space="0" w:color="auto"/>
            <w:bottom w:val="none" w:sz="0" w:space="0" w:color="auto"/>
            <w:right w:val="none" w:sz="0" w:space="0" w:color="auto"/>
          </w:divBdr>
          <w:divsChild>
            <w:div w:id="284578995">
              <w:marLeft w:val="0"/>
              <w:marRight w:val="120"/>
              <w:marTop w:val="0"/>
              <w:marBottom w:val="0"/>
              <w:divBdr>
                <w:top w:val="none" w:sz="0" w:space="0" w:color="auto"/>
                <w:left w:val="none" w:sz="0" w:space="0" w:color="auto"/>
                <w:bottom w:val="none" w:sz="0" w:space="0" w:color="auto"/>
                <w:right w:val="none" w:sz="0" w:space="0" w:color="auto"/>
              </w:divBdr>
            </w:div>
            <w:div w:id="2053841990">
              <w:marLeft w:val="0"/>
              <w:marRight w:val="0"/>
              <w:marTop w:val="0"/>
              <w:marBottom w:val="0"/>
              <w:divBdr>
                <w:top w:val="none" w:sz="0" w:space="0" w:color="auto"/>
                <w:left w:val="none" w:sz="0" w:space="0" w:color="auto"/>
                <w:bottom w:val="none" w:sz="0" w:space="0" w:color="auto"/>
                <w:right w:val="none" w:sz="0" w:space="0" w:color="auto"/>
              </w:divBdr>
            </w:div>
          </w:divsChild>
        </w:div>
        <w:div w:id="1349329706">
          <w:marLeft w:val="0"/>
          <w:marRight w:val="0"/>
          <w:marTop w:val="0"/>
          <w:marBottom w:val="0"/>
          <w:divBdr>
            <w:top w:val="single" w:sz="6" w:space="6" w:color="DADCE0"/>
            <w:left w:val="none" w:sz="0" w:space="0" w:color="auto"/>
            <w:bottom w:val="none" w:sz="0" w:space="0" w:color="auto"/>
            <w:right w:val="none" w:sz="0" w:space="0" w:color="auto"/>
          </w:divBdr>
          <w:divsChild>
            <w:div w:id="1559432869">
              <w:marLeft w:val="0"/>
              <w:marRight w:val="120"/>
              <w:marTop w:val="0"/>
              <w:marBottom w:val="0"/>
              <w:divBdr>
                <w:top w:val="none" w:sz="0" w:space="0" w:color="auto"/>
                <w:left w:val="none" w:sz="0" w:space="0" w:color="auto"/>
                <w:bottom w:val="none" w:sz="0" w:space="0" w:color="auto"/>
                <w:right w:val="none" w:sz="0" w:space="0" w:color="auto"/>
              </w:divBdr>
            </w:div>
            <w:div w:id="1859805550">
              <w:marLeft w:val="0"/>
              <w:marRight w:val="0"/>
              <w:marTop w:val="0"/>
              <w:marBottom w:val="0"/>
              <w:divBdr>
                <w:top w:val="none" w:sz="0" w:space="0" w:color="auto"/>
                <w:left w:val="none" w:sz="0" w:space="0" w:color="auto"/>
                <w:bottom w:val="none" w:sz="0" w:space="0" w:color="auto"/>
                <w:right w:val="none" w:sz="0" w:space="0" w:color="auto"/>
              </w:divBdr>
            </w:div>
          </w:divsChild>
        </w:div>
        <w:div w:id="1438595525">
          <w:marLeft w:val="0"/>
          <w:marRight w:val="0"/>
          <w:marTop w:val="0"/>
          <w:marBottom w:val="0"/>
          <w:divBdr>
            <w:top w:val="single" w:sz="6" w:space="6" w:color="DADCE0"/>
            <w:left w:val="none" w:sz="0" w:space="0" w:color="auto"/>
            <w:bottom w:val="none" w:sz="0" w:space="0" w:color="auto"/>
            <w:right w:val="none" w:sz="0" w:space="0" w:color="auto"/>
          </w:divBdr>
          <w:divsChild>
            <w:div w:id="185212934">
              <w:marLeft w:val="0"/>
              <w:marRight w:val="120"/>
              <w:marTop w:val="0"/>
              <w:marBottom w:val="0"/>
              <w:divBdr>
                <w:top w:val="none" w:sz="0" w:space="0" w:color="auto"/>
                <w:left w:val="none" w:sz="0" w:space="0" w:color="auto"/>
                <w:bottom w:val="none" w:sz="0" w:space="0" w:color="auto"/>
                <w:right w:val="none" w:sz="0" w:space="0" w:color="auto"/>
              </w:divBdr>
            </w:div>
            <w:div w:id="272903533">
              <w:marLeft w:val="0"/>
              <w:marRight w:val="0"/>
              <w:marTop w:val="0"/>
              <w:marBottom w:val="0"/>
              <w:divBdr>
                <w:top w:val="none" w:sz="0" w:space="0" w:color="auto"/>
                <w:left w:val="none" w:sz="0" w:space="0" w:color="auto"/>
                <w:bottom w:val="none" w:sz="0" w:space="0" w:color="auto"/>
                <w:right w:val="none" w:sz="0" w:space="0" w:color="auto"/>
              </w:divBdr>
            </w:div>
          </w:divsChild>
        </w:div>
        <w:div w:id="1991015493">
          <w:marLeft w:val="0"/>
          <w:marRight w:val="0"/>
          <w:marTop w:val="0"/>
          <w:marBottom w:val="0"/>
          <w:divBdr>
            <w:top w:val="single" w:sz="6" w:space="6" w:color="DADCE0"/>
            <w:left w:val="none" w:sz="0" w:space="0" w:color="auto"/>
            <w:bottom w:val="none" w:sz="0" w:space="0" w:color="auto"/>
            <w:right w:val="none" w:sz="0" w:space="0" w:color="auto"/>
          </w:divBdr>
          <w:divsChild>
            <w:div w:id="1494756935">
              <w:marLeft w:val="0"/>
              <w:marRight w:val="120"/>
              <w:marTop w:val="0"/>
              <w:marBottom w:val="0"/>
              <w:divBdr>
                <w:top w:val="none" w:sz="0" w:space="0" w:color="auto"/>
                <w:left w:val="none" w:sz="0" w:space="0" w:color="auto"/>
                <w:bottom w:val="none" w:sz="0" w:space="0" w:color="auto"/>
                <w:right w:val="none" w:sz="0" w:space="0" w:color="auto"/>
              </w:divBdr>
            </w:div>
            <w:div w:id="18248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focus.com/term/beta/JPM/Beta/JPMorgan-Chase" TargetMode="External"/><Relationship Id="rId13" Type="http://schemas.openxmlformats.org/officeDocument/2006/relationships/hyperlink" Target="https://www.financecharts.com/stocks/GS" TargetMode="External"/><Relationship Id="rId18" Type="http://schemas.openxmlformats.org/officeDocument/2006/relationships/hyperlink" Target="https://www.financecharts.com/stocks/GS" TargetMode="External"/><Relationship Id="rId26" Type="http://schemas.openxmlformats.org/officeDocument/2006/relationships/hyperlink" Target="https://www.financecharts.com/stocks/GS" TargetMode="External"/><Relationship Id="rId3" Type="http://schemas.openxmlformats.org/officeDocument/2006/relationships/settings" Target="settings.xml"/><Relationship Id="rId21" Type="http://schemas.openxmlformats.org/officeDocument/2006/relationships/hyperlink" Target="https://www.financecharts.com/stocks/GS"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financecharts.com/stocks/GS" TargetMode="External"/><Relationship Id="rId25" Type="http://schemas.openxmlformats.org/officeDocument/2006/relationships/hyperlink" Target="https://www.financecharts.com/stocks/GS" TargetMode="External"/><Relationship Id="rId2" Type="http://schemas.openxmlformats.org/officeDocument/2006/relationships/styles" Target="styles.xml"/><Relationship Id="rId16" Type="http://schemas.openxmlformats.org/officeDocument/2006/relationships/hyperlink" Target="https://www.financecharts.com/stocks/GS" TargetMode="External"/><Relationship Id="rId20" Type="http://schemas.openxmlformats.org/officeDocument/2006/relationships/hyperlink" Target="https://www.financecharts.com/stocks/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croaxis.com/volatility/JPM/JPMorgan-Chase-Co" TargetMode="External"/><Relationship Id="rId24" Type="http://schemas.openxmlformats.org/officeDocument/2006/relationships/hyperlink" Target="https://www.financecharts.com/stocks/GS" TargetMode="External"/><Relationship Id="rId5" Type="http://schemas.openxmlformats.org/officeDocument/2006/relationships/image" Target="media/image1.jpeg"/><Relationship Id="rId15" Type="http://schemas.openxmlformats.org/officeDocument/2006/relationships/hyperlink" Target="https://www.financecharts.com/stocks/GS" TargetMode="External"/><Relationship Id="rId23" Type="http://schemas.openxmlformats.org/officeDocument/2006/relationships/hyperlink" Target="https://www.financecharts.com/stocks/GS" TargetMode="External"/><Relationship Id="rId28" Type="http://schemas.openxmlformats.org/officeDocument/2006/relationships/theme" Target="theme/theme1.xml"/><Relationship Id="rId10" Type="http://schemas.openxmlformats.org/officeDocument/2006/relationships/hyperlink" Target="https://www.macroaxis.com/volatility/JPM/JPMorgan-Chase-Co" TargetMode="External"/><Relationship Id="rId19" Type="http://schemas.openxmlformats.org/officeDocument/2006/relationships/hyperlink" Target="https://www.financecharts.com/stocks/G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inancecharts.com/stocks/GS" TargetMode="External"/><Relationship Id="rId22" Type="http://schemas.openxmlformats.org/officeDocument/2006/relationships/hyperlink" Target="https://www.financecharts.com/stocks/G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KALIVARAPU</dc:creator>
  <cp:keywords/>
  <dc:description/>
  <cp:lastModifiedBy>SANDEEP KALIVARAPU</cp:lastModifiedBy>
  <cp:revision>2</cp:revision>
  <dcterms:created xsi:type="dcterms:W3CDTF">2024-04-07T09:09:00Z</dcterms:created>
  <dcterms:modified xsi:type="dcterms:W3CDTF">2024-04-07T09:09:00Z</dcterms:modified>
</cp:coreProperties>
</file>