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>
            <w:r>
              <w:t>06 July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>
            <w:r>
              <w:t>Chiranjeevi Chiru, Roshinipriya Elecombadu, Kamakshi Gangarapu, Kavitha Paligala, Kammannagari Kundanasree (Team Lead)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>
            <w:r>
              <w:t>StockTrade - MERN Stock Trading Platform (ShopZ E-Commerce)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p>
      <w:r>
        <w:br w:type="page"/>
      </w:r>
    </w:p>
    <w:p>
      <w:pPr>
        <w:pStyle w:val="Heading2"/>
      </w:pPr>
      <w:r>
        <w:t>Team's Solution Architecture - StockTrade</w:t>
      </w:r>
    </w:p>
    <w:p>
      <w:r>
        <w:drawing>
          <wp:inline xmlns:a="http://schemas.openxmlformats.org/drawingml/2006/main" xmlns:pic="http://schemas.openxmlformats.org/drawingml/2006/picture">
            <wp:extent cx="5669280" cy="30881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cktrade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Data Flow: </w:t>
      </w:r>
      <w:r>
        <w:t>The React client calls the Express REST API over Axios; protected routes pass through JWT auth/role-guard middleware before reaching stocks/trade/portfolio/admin controllers. A server-side simulated price engine updates stock prices roughly every 5 seconds, which the client polls. All persistent data (users, stocks, transactions, portfolio) is stored in MongoDB Atlas via Mongoose. The frontend is deployed on Vercel and the backend API on Render/Railway.</w:t>
      </w: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