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81B" w:rsidRPr="00BB5112" w:rsidRDefault="001E2305">
      <w:pPr>
        <w:spacing w:before="240" w:after="80"/>
        <w:jc w:val="center"/>
      </w:pPr>
      <w:r w:rsidRPr="00BB5112">
        <w:rPr>
          <w:b/>
          <w:bCs/>
        </w:rPr>
        <w:t>Text Analysis of GRI Sustainability Reports:</w:t>
      </w:r>
    </w:p>
    <w:p w:rsidR="007E081B" w:rsidRPr="00BB5112" w:rsidRDefault="001E2305">
      <w:pPr>
        <w:spacing w:after="80"/>
        <w:jc w:val="center"/>
      </w:pPr>
      <w:r w:rsidRPr="00BB5112">
        <w:rPr>
          <w:b/>
          <w:bCs/>
        </w:rPr>
        <w:t>Dominant Themes and Temporal Trends</w:t>
      </w:r>
    </w:p>
    <w:p w:rsidR="006F3AAE" w:rsidRPr="00BB5112" w:rsidRDefault="006F3AAE">
      <w:pPr>
        <w:spacing w:after="100"/>
        <w:rPr>
          <w:i/>
          <w:iCs/>
        </w:rPr>
      </w:pPr>
    </w:p>
    <w:p w:rsidR="007E081B" w:rsidRPr="00BB5112" w:rsidRDefault="001E2305">
      <w:pPr>
        <w:spacing w:after="100"/>
      </w:pPr>
      <w:r w:rsidRPr="00BB5112">
        <w:rPr>
          <w:b/>
          <w:bCs/>
        </w:rPr>
        <w:t>Abstract</w:t>
      </w:r>
    </w:p>
    <w:p w:rsidR="00865887" w:rsidRPr="00BB5112" w:rsidRDefault="00865887" w:rsidP="00023C19">
      <w:pPr>
        <w:jc w:val="both"/>
      </w:pPr>
      <w:r w:rsidRPr="00BB5112">
        <w:t>Sustainability reporting has become a critical element of modern corporate communication. This shift in corporate behaviour is primarily driven by growing stakeholder expectations, as investors, regulators, and the public increasingly demand transparency beyond traditional financial metrics. Thus, companies spend considerable resources to communicate their environmental, social, and governance (ESG) performance through structured frameworks such as the Global Reporting Initiative (GRI). This paper attempts to identify the dominant sustainability themes in GRI reports and examine how these themes have evolved over time through computational text analysis of 972 English-language corporate reports spanning 2002 to 2018.</w:t>
      </w:r>
    </w:p>
    <w:p w:rsidR="00865887" w:rsidRPr="00BB5112" w:rsidRDefault="00865887" w:rsidP="00865887"/>
    <w:p w:rsidR="007E081B" w:rsidRPr="00BB5112" w:rsidRDefault="00865887" w:rsidP="00023C19">
      <w:pPr>
        <w:jc w:val="both"/>
      </w:pPr>
      <w:r w:rsidRPr="00BB5112">
        <w:rPr>
          <w:b/>
          <w:bCs/>
        </w:rPr>
        <w:t>Keywords:</w:t>
      </w:r>
      <w:r w:rsidRPr="00BB5112">
        <w:t xml:space="preserve"> Corporate Social Responsibility, GRI, Sustainability, Environment, Governance, Text Analysis, Temporal Trends.</w:t>
      </w:r>
    </w:p>
    <w:p w:rsidR="007E081B" w:rsidRPr="00BB5112" w:rsidRDefault="001E2305">
      <w:pPr>
        <w:spacing w:before="240" w:after="100"/>
      </w:pPr>
      <w:r w:rsidRPr="00BB5112">
        <w:rPr>
          <w:b/>
          <w:bCs/>
        </w:rPr>
        <w:t>I. INTRODUCTION</w:t>
      </w:r>
      <w:bookmarkStart w:id="0" w:name="_GoBack"/>
      <w:bookmarkEnd w:id="0"/>
    </w:p>
    <w:p w:rsidR="007E081B" w:rsidRPr="00BB5112" w:rsidRDefault="001E2305">
      <w:pPr>
        <w:spacing w:after="100" w:line="360" w:lineRule="auto"/>
        <w:jc w:val="both"/>
      </w:pPr>
      <w:r w:rsidRPr="00BB5112">
        <w:t>Corporate sustainability reporting has grown significantly over the past two decades. The Global Reporting Initiative (GRI), established in 1997, is the most widely adopted standard for corporate sustainability disclosure, enabling companies to communicate environmental, social, and governance (ESG) performance to stakeholders (GRI, 2022). The large volume of GRI reports provides a valuable text corpus for computational analysis of sustainability themes. This report analyses 972 English-language GRI reports to identify dominant themes and their temporal evolution.</w:t>
      </w:r>
    </w:p>
    <w:p w:rsidR="007E081B" w:rsidRPr="00BB5112" w:rsidRDefault="007E081B"/>
    <w:p w:rsidR="007E081B" w:rsidRPr="00BB5112" w:rsidRDefault="001E2305">
      <w:pPr>
        <w:spacing w:before="240" w:after="100"/>
      </w:pPr>
      <w:r w:rsidRPr="00BB5112">
        <w:rPr>
          <w:b/>
          <w:bCs/>
        </w:rPr>
        <w:t>II. LITERATURE REVIEW</w:t>
      </w:r>
    </w:p>
    <w:p w:rsidR="007E081B" w:rsidRPr="00BB5112" w:rsidRDefault="001E2305">
      <w:pPr>
        <w:spacing w:after="100" w:line="360" w:lineRule="auto"/>
        <w:jc w:val="both"/>
      </w:pPr>
      <w:proofErr w:type="spellStart"/>
      <w:r w:rsidRPr="00BB5112">
        <w:t>Luhmann</w:t>
      </w:r>
      <w:proofErr w:type="spellEnd"/>
      <w:r w:rsidRPr="00BB5112">
        <w:t xml:space="preserve"> and </w:t>
      </w:r>
      <w:proofErr w:type="spellStart"/>
      <w:r w:rsidRPr="00BB5112">
        <w:t>Theuvsen</w:t>
      </w:r>
      <w:proofErr w:type="spellEnd"/>
      <w:r w:rsidRPr="00BB5112">
        <w:t xml:space="preserve"> (2017) argue that CSR reporting must address social, environmental, and economic dimensions simultaneously. </w:t>
      </w:r>
      <w:proofErr w:type="spellStart"/>
      <w:r w:rsidRPr="00BB5112">
        <w:t>Moravcikova</w:t>
      </w:r>
      <w:proofErr w:type="spellEnd"/>
      <w:r w:rsidRPr="00BB5112">
        <w:t xml:space="preserve"> et al. (2015) found that environmental disclosure dominates corporate sustainability communication. Governance and supply chain transparency have grown following the EU CSR Directive (2014/95/EU), which mandated nonfinancial reporting for large listed companies from 2017 (</w:t>
      </w:r>
      <w:proofErr w:type="spellStart"/>
      <w:r w:rsidRPr="00BB5112">
        <w:t>Firtcher</w:t>
      </w:r>
      <w:proofErr w:type="spellEnd"/>
      <w:r w:rsidRPr="00BB5112">
        <w:t xml:space="preserve"> et al., 2022). </w:t>
      </w:r>
      <w:proofErr w:type="spellStart"/>
      <w:r w:rsidRPr="00BB5112">
        <w:t>Pomering</w:t>
      </w:r>
      <w:proofErr w:type="spellEnd"/>
      <w:r w:rsidRPr="00BB5112">
        <w:t xml:space="preserve"> and </w:t>
      </w:r>
      <w:proofErr w:type="spellStart"/>
      <w:r w:rsidRPr="00BB5112">
        <w:t>Dolnicar</w:t>
      </w:r>
      <w:proofErr w:type="spellEnd"/>
      <w:r w:rsidRPr="00BB5112">
        <w:t xml:space="preserve"> (2009) note that companies have responded to stakeholder awareness by increasing the depth of sustainability disclosures, while </w:t>
      </w:r>
      <w:proofErr w:type="spellStart"/>
      <w:r w:rsidRPr="00BB5112">
        <w:t>Berad</w:t>
      </w:r>
      <w:proofErr w:type="spellEnd"/>
      <w:r w:rsidRPr="00BB5112">
        <w:t xml:space="preserve"> (2011) highlights that human rights and labour practices have gained increasing attention from the mid-2000s onwards.</w:t>
      </w:r>
    </w:p>
    <w:p w:rsidR="007E081B" w:rsidRPr="00BB5112" w:rsidRDefault="007E081B"/>
    <w:p w:rsidR="007E081B" w:rsidRPr="00BB5112" w:rsidRDefault="001E2305">
      <w:pPr>
        <w:spacing w:before="240" w:after="100"/>
      </w:pPr>
      <w:r w:rsidRPr="00BB5112">
        <w:rPr>
          <w:b/>
          <w:bCs/>
        </w:rPr>
        <w:lastRenderedPageBreak/>
        <w:t>III. RESEARCH QUESTION</w:t>
      </w:r>
    </w:p>
    <w:p w:rsidR="007E081B" w:rsidRPr="00BB5112" w:rsidRDefault="001E2305">
      <w:pPr>
        <w:spacing w:after="100" w:line="360" w:lineRule="auto"/>
        <w:jc w:val="both"/>
      </w:pPr>
      <w:r w:rsidRPr="00BB5112">
        <w:t>This study addresses two research questions:</w:t>
      </w:r>
    </w:p>
    <w:p w:rsidR="007E081B" w:rsidRPr="00BB5112" w:rsidRDefault="001E2305">
      <w:pPr>
        <w:spacing w:before="60" w:after="60" w:line="360" w:lineRule="auto"/>
        <w:ind w:left="720"/>
        <w:jc w:val="both"/>
      </w:pPr>
      <w:r w:rsidRPr="00BB5112">
        <w:rPr>
          <w:b/>
          <w:bCs/>
        </w:rPr>
        <w:t>RQ1: What are the dominant sustainability themes in GRI reports?</w:t>
      </w:r>
    </w:p>
    <w:p w:rsidR="007E081B" w:rsidRPr="00BB5112" w:rsidRDefault="001E2305">
      <w:pPr>
        <w:spacing w:before="60" w:after="100" w:line="360" w:lineRule="auto"/>
        <w:ind w:left="720"/>
        <w:jc w:val="both"/>
      </w:pPr>
      <w:r w:rsidRPr="00BB5112">
        <w:rPr>
          <w:b/>
          <w:bCs/>
        </w:rPr>
        <w:t xml:space="preserve">RQ2: </w:t>
      </w:r>
      <w:r w:rsidR="00CA055A">
        <w:rPr>
          <w:rFonts w:ascii="Arial" w:hAnsi="Arial" w:cs="Arial"/>
          <w:color w:val="000000"/>
          <w:sz w:val="22"/>
          <w:szCs w:val="22"/>
        </w:rPr>
        <w:t> </w:t>
      </w:r>
      <w:r w:rsidR="00CA055A" w:rsidRPr="00CA055A">
        <w:rPr>
          <w:b/>
          <w:bCs/>
          <w:color w:val="000000"/>
        </w:rPr>
        <w:t>How have the top three been changed over time</w:t>
      </w:r>
      <w:r w:rsidRPr="00CA055A">
        <w:rPr>
          <w:b/>
          <w:bCs/>
        </w:rPr>
        <w:t>?</w:t>
      </w:r>
    </w:p>
    <w:p w:rsidR="007E081B" w:rsidRPr="00BB5112" w:rsidRDefault="007E081B"/>
    <w:p w:rsidR="004C7346" w:rsidRPr="00BB5112" w:rsidRDefault="004C7346" w:rsidP="004C7346">
      <w:pPr>
        <w:spacing w:before="240" w:after="100"/>
      </w:pPr>
      <w:r w:rsidRPr="00BB5112">
        <w:rPr>
          <w:b/>
          <w:bCs/>
        </w:rPr>
        <w:t>IV. METHODOLOGY</w:t>
      </w:r>
    </w:p>
    <w:p w:rsidR="004C7346" w:rsidRPr="00BB5112" w:rsidRDefault="004C7346" w:rsidP="004C7346">
      <w:pPr>
        <w:spacing w:after="100" w:line="360" w:lineRule="auto"/>
        <w:jc w:val="both"/>
      </w:pPr>
      <w:r w:rsidRPr="00BB5112">
        <w:t xml:space="preserve">This section describes the methods followed in this project, covering data collection, text </w:t>
      </w:r>
      <w:proofErr w:type="spellStart"/>
      <w:r w:rsidRPr="00BB5112">
        <w:t>preprocessing</w:t>
      </w:r>
      <w:proofErr w:type="spellEnd"/>
      <w:r w:rsidRPr="00BB5112">
        <w:t>, theme detection, and visualisation. Figure 1 illustrates the complete process flow.</w:t>
      </w:r>
    </w:p>
    <w:p w:rsidR="004C7346" w:rsidRPr="00BB5112" w:rsidRDefault="004C7346" w:rsidP="004C7346">
      <w:pPr>
        <w:spacing w:line="180" w:lineRule="auto"/>
      </w:pPr>
    </w:p>
    <w:p w:rsidR="004C7346" w:rsidRPr="00BB5112" w:rsidRDefault="004C7346" w:rsidP="004C7346">
      <w:pPr>
        <w:spacing w:before="120" w:after="60"/>
        <w:jc w:val="center"/>
      </w:pPr>
      <w:r w:rsidRPr="00BB5112">
        <w:rPr>
          <w:noProof/>
        </w:rPr>
        <w:drawing>
          <wp:inline distT="0" distB="0" distL="0" distR="0" wp14:anchorId="1D369833" wp14:editId="5279A7DE">
            <wp:extent cx="2667000" cy="4411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4411088"/>
                    </a:xfrm>
                    <a:prstGeom prst="rect">
                      <a:avLst/>
                    </a:prstGeom>
                  </pic:spPr>
                </pic:pic>
              </a:graphicData>
            </a:graphic>
          </wp:inline>
        </w:drawing>
      </w:r>
    </w:p>
    <w:p w:rsidR="004C7346" w:rsidRPr="00BB5112" w:rsidRDefault="004C7346" w:rsidP="004C7346">
      <w:pPr>
        <w:spacing w:before="60" w:after="160"/>
        <w:jc w:val="center"/>
      </w:pPr>
      <w:r w:rsidRPr="00BB5112">
        <w:rPr>
          <w:i/>
          <w:iCs/>
        </w:rPr>
        <w:t>Figure 1: Methodology Process Flow Diagram</w:t>
      </w:r>
    </w:p>
    <w:p w:rsidR="004C7346" w:rsidRPr="00BB5112" w:rsidRDefault="004C7346" w:rsidP="004C7346">
      <w:pPr>
        <w:spacing w:line="180" w:lineRule="auto"/>
      </w:pPr>
    </w:p>
    <w:p w:rsidR="004C7346" w:rsidRPr="00BB5112" w:rsidRDefault="004C7346" w:rsidP="004C7346">
      <w:pPr>
        <w:spacing w:before="160" w:after="80"/>
        <w:ind w:left="360"/>
        <w:rPr>
          <w:b/>
          <w:bCs/>
        </w:rPr>
      </w:pPr>
    </w:p>
    <w:p w:rsidR="00710A35" w:rsidRDefault="004C7346" w:rsidP="00710A35">
      <w:pPr>
        <w:pStyle w:val="ListParagraph"/>
        <w:numPr>
          <w:ilvl w:val="0"/>
          <w:numId w:val="3"/>
        </w:numPr>
        <w:spacing w:before="160" w:after="80"/>
      </w:pPr>
      <w:r w:rsidRPr="00710A35">
        <w:rPr>
          <w:b/>
          <w:bCs/>
        </w:rPr>
        <w:t>Data Collection</w:t>
      </w:r>
    </w:p>
    <w:p w:rsidR="004C7346" w:rsidRPr="00BB5112" w:rsidRDefault="000B0CF3" w:rsidP="00710A35">
      <w:pPr>
        <w:spacing w:before="160" w:after="80"/>
        <w:ind w:left="360"/>
      </w:pPr>
      <w:r>
        <w:lastRenderedPageBreak/>
        <w:t xml:space="preserve">The initial dataset consisted of 5,898 GRI report text files (2000–2018) paired with metadata. After filtering for English-language reports, </w:t>
      </w:r>
      <w:r w:rsidRPr="00710A35">
        <w:rPr>
          <w:b/>
          <w:bCs/>
        </w:rPr>
        <w:t>1,653</w:t>
      </w:r>
      <w:r>
        <w:t xml:space="preserve"> files were identified. A random sample of </w:t>
      </w:r>
      <w:r w:rsidRPr="00710A35">
        <w:rPr>
          <w:b/>
          <w:bCs/>
        </w:rPr>
        <w:t>1,000</w:t>
      </w:r>
      <w:r>
        <w:t xml:space="preserve"> reports was drawn (seed = 42). Following a quality filter to remove duplicates and documents with fewer than 50 cleaned words, the final corpus comprised </w:t>
      </w:r>
      <w:r w:rsidRPr="00710A35">
        <w:rPr>
          <w:b/>
          <w:bCs/>
        </w:rPr>
        <w:t>972</w:t>
      </w:r>
      <w:r>
        <w:t xml:space="preserve"> reports across 60 countries and 37 sectors.</w:t>
      </w:r>
    </w:p>
    <w:p w:rsidR="00710A35" w:rsidRDefault="00710A35" w:rsidP="004C7346">
      <w:pPr>
        <w:spacing w:before="160" w:after="80"/>
        <w:ind w:left="360"/>
        <w:rPr>
          <w:b/>
          <w:bCs/>
        </w:rPr>
      </w:pPr>
    </w:p>
    <w:p w:rsidR="004C7346" w:rsidRPr="00BB5112" w:rsidRDefault="004C7346" w:rsidP="004C7346">
      <w:pPr>
        <w:spacing w:before="160" w:after="80"/>
        <w:ind w:left="360"/>
      </w:pPr>
      <w:r w:rsidRPr="00BB5112">
        <w:rPr>
          <w:b/>
          <w:bCs/>
        </w:rPr>
        <w:t>B. Text Processing</w:t>
      </w:r>
    </w:p>
    <w:p w:rsidR="00710A35" w:rsidRDefault="00710A35" w:rsidP="00710A35">
      <w:pPr>
        <w:pStyle w:val="NormalWeb"/>
      </w:pPr>
      <w:r>
        <w:t xml:space="preserve">      </w:t>
      </w:r>
      <w:r>
        <w:t xml:space="preserve">Reports were </w:t>
      </w:r>
      <w:proofErr w:type="spellStart"/>
      <w:r>
        <w:t>preprocessed</w:t>
      </w:r>
      <w:proofErr w:type="spellEnd"/>
      <w:r>
        <w:t xml:space="preserve"> using a Python-based pipeline:</w:t>
      </w:r>
    </w:p>
    <w:p w:rsidR="00710A35" w:rsidRDefault="00710A35" w:rsidP="00710A35">
      <w:pPr>
        <w:pStyle w:val="NormalWeb"/>
        <w:numPr>
          <w:ilvl w:val="0"/>
          <w:numId w:val="4"/>
        </w:numPr>
      </w:pPr>
      <w:r>
        <w:rPr>
          <w:b/>
          <w:bCs/>
        </w:rPr>
        <w:t>Merging:</w:t>
      </w:r>
      <w:r>
        <w:t xml:space="preserve"> Text files and metadata were joined using filename keys.</w:t>
      </w:r>
    </w:p>
    <w:p w:rsidR="00710A35" w:rsidRDefault="00710A35" w:rsidP="00710A35">
      <w:pPr>
        <w:pStyle w:val="NormalWeb"/>
        <w:numPr>
          <w:ilvl w:val="0"/>
          <w:numId w:val="4"/>
        </w:numPr>
      </w:pPr>
      <w:r>
        <w:rPr>
          <w:b/>
          <w:bCs/>
        </w:rPr>
        <w:t>Cleaning:</w:t>
      </w:r>
      <w:r>
        <w:t xml:space="preserve"> Text was lowercased; newlines, URLs, numbers, and punctuation were removed.</w:t>
      </w:r>
    </w:p>
    <w:p w:rsidR="00710A35" w:rsidRDefault="00710A35" w:rsidP="00710A35">
      <w:pPr>
        <w:pStyle w:val="NormalWeb"/>
        <w:numPr>
          <w:ilvl w:val="0"/>
          <w:numId w:val="4"/>
        </w:numPr>
      </w:pPr>
      <w:r>
        <w:rPr>
          <w:b/>
          <w:bCs/>
        </w:rPr>
        <w:t>Tokenization:</w:t>
      </w:r>
      <w:r>
        <w:t xml:space="preserve"> NLTK was used for tokenization and the removal of </w:t>
      </w:r>
      <w:proofErr w:type="gramStart"/>
      <w:r>
        <w:t>standard</w:t>
      </w:r>
      <w:proofErr w:type="gramEnd"/>
      <w:r>
        <w:t xml:space="preserve"> English </w:t>
      </w:r>
      <w:proofErr w:type="spellStart"/>
      <w:r>
        <w:t>stopwords</w:t>
      </w:r>
      <w:proofErr w:type="spellEnd"/>
      <w:r>
        <w:t xml:space="preserve">, supplemented by </w:t>
      </w:r>
      <w:r>
        <w:rPr>
          <w:b/>
          <w:bCs/>
        </w:rPr>
        <w:t>16 domain-specific terms</w:t>
      </w:r>
      <w:r>
        <w:t xml:space="preserve"> (e.g., “</w:t>
      </w:r>
      <w:proofErr w:type="spellStart"/>
      <w:r>
        <w:t>gri</w:t>
      </w:r>
      <w:proofErr w:type="spellEnd"/>
      <w:r>
        <w:t>”, “sustainability”, “reporting”).</w:t>
      </w:r>
    </w:p>
    <w:p w:rsidR="00710A35" w:rsidRDefault="00710A35" w:rsidP="00710A35">
      <w:pPr>
        <w:pStyle w:val="NormalWeb"/>
        <w:numPr>
          <w:ilvl w:val="0"/>
          <w:numId w:val="4"/>
        </w:numPr>
      </w:pPr>
      <w:r>
        <w:rPr>
          <w:b/>
          <w:bCs/>
        </w:rPr>
        <w:t>Lemmatization:</w:t>
      </w:r>
      <w:r>
        <w:t xml:space="preserve"> WordNet lemmatization was applied to normalize terms.</w:t>
      </w:r>
    </w:p>
    <w:p w:rsidR="00710A35" w:rsidRDefault="00710A35" w:rsidP="00710A35">
      <w:pPr>
        <w:pStyle w:val="NormalWeb"/>
        <w:ind w:left="720"/>
      </w:pPr>
      <w:r>
        <w:t xml:space="preserve">This process reduced the mean word count from 26,703 to 14,188 words per document—a </w:t>
      </w:r>
      <w:r>
        <w:rPr>
          <w:b/>
          <w:bCs/>
        </w:rPr>
        <w:t>46.9% reduction</w:t>
      </w:r>
      <w:r>
        <w:t xml:space="preserve"> in noise.</w:t>
      </w:r>
    </w:p>
    <w:p w:rsidR="004C7346" w:rsidRPr="00BB5112" w:rsidRDefault="004C7346" w:rsidP="004C7346">
      <w:pPr>
        <w:spacing w:line="180" w:lineRule="auto"/>
      </w:pPr>
    </w:p>
    <w:p w:rsidR="00710A35" w:rsidRDefault="004C7346" w:rsidP="00710A35">
      <w:pPr>
        <w:pStyle w:val="ListParagraph"/>
        <w:numPr>
          <w:ilvl w:val="0"/>
          <w:numId w:val="3"/>
        </w:numPr>
        <w:spacing w:before="160" w:after="80"/>
      </w:pPr>
      <w:r w:rsidRPr="00710A35">
        <w:rPr>
          <w:b/>
          <w:bCs/>
        </w:rPr>
        <w:t>Theme Detection</w:t>
      </w:r>
    </w:p>
    <w:p w:rsidR="004C7346" w:rsidRPr="00710A35" w:rsidRDefault="00710A35" w:rsidP="00710A35">
      <w:pPr>
        <w:pStyle w:val="ListParagraph"/>
        <w:spacing w:before="160" w:after="80"/>
        <w:ind w:left="720"/>
      </w:pPr>
      <w:r w:rsidRPr="00710A35">
        <w:t xml:space="preserve">Eight sustainability themes were defined using domain-specific keyword dictionaries: Environment, Governance, Supply Chain, Labour &amp; Workers, Community, Economic, Human Rights, and Innovation. A report was classified as containing a theme if at least </w:t>
      </w:r>
      <w:r w:rsidRPr="00710A35">
        <w:rPr>
          <w:b/>
          <w:bCs/>
        </w:rPr>
        <w:t>two theme-specific keywords</w:t>
      </w:r>
      <w:r w:rsidRPr="00710A35">
        <w:t xml:space="preserve"> appeared in its cleaned text. Prevalence was calculated as the percentage of reports containing each theme relative to the total number of reports for a given year or the entire study period.</w:t>
      </w:r>
    </w:p>
    <w:p w:rsidR="00710A35" w:rsidRPr="00710A35" w:rsidRDefault="004C7346" w:rsidP="00710A35">
      <w:pPr>
        <w:pStyle w:val="ListParagraph"/>
        <w:numPr>
          <w:ilvl w:val="0"/>
          <w:numId w:val="3"/>
        </w:numPr>
        <w:spacing w:before="160" w:after="80"/>
        <w:rPr>
          <w:b/>
          <w:bCs/>
        </w:rPr>
      </w:pPr>
      <w:r w:rsidRPr="00710A35">
        <w:rPr>
          <w:b/>
          <w:bCs/>
        </w:rPr>
        <w:t>Visualization</w:t>
      </w:r>
    </w:p>
    <w:p w:rsidR="00710A35" w:rsidRDefault="00710A35" w:rsidP="00710A35">
      <w:pPr>
        <w:pStyle w:val="ListParagraph"/>
        <w:spacing w:before="160" w:after="80"/>
        <w:ind w:left="720"/>
      </w:pPr>
      <w:r>
        <w:t xml:space="preserve">Visualizations were designed following </w:t>
      </w:r>
      <w:proofErr w:type="spellStart"/>
      <w:r>
        <w:t>Tufte’s</w:t>
      </w:r>
      <w:proofErr w:type="spellEnd"/>
      <w:r>
        <w:t xml:space="preserve"> principles to maximize the data-ink ratio and eliminate "</w:t>
      </w:r>
      <w:proofErr w:type="spellStart"/>
      <w:r>
        <w:t>chartjunk</w:t>
      </w:r>
      <w:proofErr w:type="spellEnd"/>
      <w:r>
        <w:t>." This study utilizes three primary visualizations:</w:t>
      </w:r>
    </w:p>
    <w:p w:rsidR="00710A35" w:rsidRDefault="00710A35" w:rsidP="00710A35">
      <w:pPr>
        <w:pStyle w:val="NormalWeb"/>
        <w:numPr>
          <w:ilvl w:val="0"/>
          <w:numId w:val="5"/>
        </w:numPr>
        <w:jc w:val="both"/>
      </w:pPr>
      <w:r>
        <w:rPr>
          <w:b/>
          <w:bCs/>
        </w:rPr>
        <w:t>Figure 2:</w:t>
      </w:r>
      <w:r>
        <w:t xml:space="preserve"> A horizontal bar chart showing overall theme prevalence.</w:t>
      </w:r>
    </w:p>
    <w:p w:rsidR="00710A35" w:rsidRDefault="00710A35" w:rsidP="00710A35">
      <w:pPr>
        <w:pStyle w:val="NormalWeb"/>
        <w:numPr>
          <w:ilvl w:val="0"/>
          <w:numId w:val="5"/>
        </w:numPr>
        <w:jc w:val="both"/>
      </w:pPr>
      <w:r>
        <w:rPr>
          <w:b/>
          <w:bCs/>
        </w:rPr>
        <w:t>Figure 3:</w:t>
      </w:r>
      <w:r>
        <w:t xml:space="preserve"> A small multiples line chart displaying temporal trends for the top three themes.</w:t>
      </w:r>
    </w:p>
    <w:p w:rsidR="00710A35" w:rsidRDefault="00710A35" w:rsidP="00710A35">
      <w:pPr>
        <w:pStyle w:val="NormalWeb"/>
        <w:numPr>
          <w:ilvl w:val="0"/>
          <w:numId w:val="5"/>
        </w:numPr>
        <w:jc w:val="both"/>
      </w:pPr>
      <w:r>
        <w:rPr>
          <w:b/>
          <w:bCs/>
        </w:rPr>
        <w:t>Figure 4:</w:t>
      </w:r>
      <w:r>
        <w:t xml:space="preserve"> A </w:t>
      </w:r>
      <w:proofErr w:type="spellStart"/>
      <w:r>
        <w:t>heatmap</w:t>
      </w:r>
      <w:proofErr w:type="spellEnd"/>
      <w:r>
        <w:t xml:space="preserve"> summarizing the prevalence of all eight themes across the study period (2002–2018).</w:t>
      </w:r>
    </w:p>
    <w:p w:rsidR="004C7346" w:rsidRPr="00BB5112" w:rsidRDefault="004C7346">
      <w:pPr>
        <w:spacing w:before="240" w:after="100"/>
        <w:rPr>
          <w:b/>
          <w:bCs/>
        </w:rPr>
      </w:pPr>
    </w:p>
    <w:p w:rsidR="007E081B" w:rsidRPr="00BB5112" w:rsidRDefault="001E2305">
      <w:pPr>
        <w:spacing w:before="240" w:after="100"/>
      </w:pPr>
      <w:r w:rsidRPr="00BB5112">
        <w:rPr>
          <w:b/>
          <w:bCs/>
        </w:rPr>
        <w:t>V. FINDINGS</w:t>
      </w:r>
    </w:p>
    <w:p w:rsidR="00CA055A" w:rsidRPr="00CA055A" w:rsidRDefault="00CA055A" w:rsidP="00CA055A">
      <w:pPr>
        <w:pStyle w:val="Heading3"/>
        <w:rPr>
          <w:color w:val="000000" w:themeColor="text1"/>
        </w:rPr>
      </w:pPr>
      <w:r w:rsidRPr="00CA055A">
        <w:rPr>
          <w:color w:val="000000" w:themeColor="text1"/>
        </w:rPr>
        <w:t>A. Overall Theme Prevalence</w:t>
      </w:r>
    </w:p>
    <w:p w:rsidR="00CA055A" w:rsidRPr="00CA055A" w:rsidRDefault="00CA055A" w:rsidP="00CA055A">
      <w:pPr>
        <w:pStyle w:val="NormalWeb"/>
      </w:pPr>
      <w:r w:rsidRPr="00CA055A">
        <w:rPr>
          <w:b/>
          <w:bCs/>
        </w:rPr>
        <w:lastRenderedPageBreak/>
        <w:t>Figure 2</w:t>
      </w:r>
      <w:r w:rsidRPr="00CA055A">
        <w:t xml:space="preserve"> presents theme prevalence across the final sample of 972 reports. </w:t>
      </w:r>
      <w:r w:rsidRPr="00CA055A">
        <w:rPr>
          <w:b/>
          <w:bCs/>
        </w:rPr>
        <w:t>Environment</w:t>
      </w:r>
      <w:r w:rsidRPr="00CA055A">
        <w:t xml:space="preserve"> is the most dominant theme, appearing in </w:t>
      </w:r>
      <w:r w:rsidRPr="00CA055A">
        <w:rPr>
          <w:b/>
          <w:bCs/>
        </w:rPr>
        <w:t>94.7%</w:t>
      </w:r>
      <w:r w:rsidRPr="00CA055A">
        <w:t xml:space="preserve"> of reports, followed by </w:t>
      </w:r>
      <w:r w:rsidRPr="00CA055A">
        <w:rPr>
          <w:b/>
          <w:bCs/>
        </w:rPr>
        <w:t>Governance (88.9%)</w:t>
      </w:r>
      <w:r w:rsidRPr="00CA055A">
        <w:t xml:space="preserve">, </w:t>
      </w:r>
      <w:r w:rsidRPr="00CA055A">
        <w:rPr>
          <w:b/>
          <w:bCs/>
        </w:rPr>
        <w:t>Supply Chain (83.8%)</w:t>
      </w:r>
      <w:r w:rsidRPr="00CA055A">
        <w:t xml:space="preserve">, and </w:t>
      </w:r>
      <w:r w:rsidRPr="00CA055A">
        <w:rPr>
          <w:b/>
          <w:bCs/>
        </w:rPr>
        <w:t>Labour &amp; Workers (79.1%)</w:t>
      </w:r>
      <w:r w:rsidRPr="00CA055A">
        <w:t xml:space="preserve">. </w:t>
      </w:r>
      <w:r w:rsidRPr="00CA055A">
        <w:rPr>
          <w:b/>
          <w:bCs/>
        </w:rPr>
        <w:t>Innovation</w:t>
      </w:r>
      <w:r w:rsidRPr="00CA055A">
        <w:t xml:space="preserve"> is the least prevalent at </w:t>
      </w:r>
      <w:r w:rsidRPr="00CA055A">
        <w:rPr>
          <w:b/>
          <w:bCs/>
        </w:rPr>
        <w:t>42.8%</w:t>
      </w:r>
      <w:r w:rsidRPr="00CA055A">
        <w:t>, appearing in fewer than half of all reports. The roughly 52-percentage-point gap between Environment and Innovation indicates a clear hierarchy in corporate sustainability disclosure, with environmental concerns firmly established as the baseline for GRI reporting.</w:t>
      </w:r>
    </w:p>
    <w:p w:rsidR="007E081B" w:rsidRPr="00BB5112" w:rsidRDefault="007E081B"/>
    <w:p w:rsidR="007E081B" w:rsidRPr="00BB5112" w:rsidRDefault="00CA055A">
      <w:pPr>
        <w:spacing w:before="100" w:after="60"/>
        <w:jc w:val="center"/>
      </w:pPr>
      <w:r>
        <w:rPr>
          <w:noProof/>
        </w:rPr>
        <w:drawing>
          <wp:inline distT="0" distB="0" distL="0" distR="0">
            <wp:extent cx="5943600" cy="3526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3_them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rsidR="007E081B" w:rsidRPr="00BB5112" w:rsidRDefault="00AD7ED8">
      <w:pPr>
        <w:spacing w:before="60" w:after="140"/>
        <w:jc w:val="center"/>
      </w:pPr>
      <w:r>
        <w:rPr>
          <w:i/>
          <w:iCs/>
        </w:rPr>
        <w:t>Figure 2</w:t>
      </w:r>
      <w:r w:rsidR="001E2305" w:rsidRPr="00BB5112">
        <w:rPr>
          <w:i/>
          <w:iCs/>
        </w:rPr>
        <w:t xml:space="preserve">: Prevalence of Dominant Sustainability Themes </w:t>
      </w:r>
      <w:proofErr w:type="gramStart"/>
      <w:r w:rsidR="001E2305" w:rsidRPr="00BB5112">
        <w:rPr>
          <w:i/>
          <w:iCs/>
        </w:rPr>
        <w:t>Across</w:t>
      </w:r>
      <w:proofErr w:type="gramEnd"/>
      <w:r w:rsidR="001E2305" w:rsidRPr="00BB5112">
        <w:rPr>
          <w:i/>
          <w:iCs/>
        </w:rPr>
        <w:t xml:space="preserve"> GRI Reports (n = 972).</w:t>
      </w:r>
    </w:p>
    <w:p w:rsidR="007E081B" w:rsidRPr="00BB5112" w:rsidRDefault="007E081B"/>
    <w:p w:rsidR="000B0CF3" w:rsidRPr="000B0CF3" w:rsidRDefault="000B0CF3" w:rsidP="000B0CF3">
      <w:pPr>
        <w:pStyle w:val="Heading3"/>
        <w:rPr>
          <w:color w:val="000000" w:themeColor="text1"/>
        </w:rPr>
      </w:pPr>
      <w:r w:rsidRPr="000B0CF3">
        <w:rPr>
          <w:color w:val="000000" w:themeColor="text1"/>
        </w:rPr>
        <w:t>B. Temporal Trends of Top Themes</w:t>
      </w:r>
    </w:p>
    <w:p w:rsidR="000B0CF3" w:rsidRDefault="000B0CF3" w:rsidP="000B0CF3">
      <w:pPr>
        <w:pStyle w:val="NormalWeb"/>
      </w:pPr>
      <w:r>
        <w:rPr>
          <w:b/>
          <w:bCs/>
        </w:rPr>
        <w:t>Figure 3</w:t>
      </w:r>
      <w:r>
        <w:t xml:space="preserve"> compares the three most dominant sustainability themes over time (2002–2018). While these themes remain highly prevalent, all three show a slight downward linear trend over the 16-year period. </w:t>
      </w:r>
      <w:r>
        <w:rPr>
          <w:b/>
          <w:bCs/>
        </w:rPr>
        <w:t>Governance</w:t>
      </w:r>
      <w:r>
        <w:t xml:space="preserve"> shows the steepest decline with a slope of </w:t>
      </w:r>
      <w:r>
        <w:rPr>
          <w:b/>
          <w:bCs/>
        </w:rPr>
        <w:t>-1.52% per year</w:t>
      </w:r>
      <w:r>
        <w:t xml:space="preserve">, followed by </w:t>
      </w:r>
      <w:r>
        <w:rPr>
          <w:b/>
          <w:bCs/>
        </w:rPr>
        <w:t>Environment (-0.98% per year)</w:t>
      </w:r>
      <w:r>
        <w:t xml:space="preserve"> and </w:t>
      </w:r>
      <w:r>
        <w:rPr>
          <w:b/>
          <w:bCs/>
        </w:rPr>
        <w:t>Supply Chain (-0.85% per year)</w:t>
      </w:r>
      <w:r>
        <w:t>.</w:t>
      </w:r>
    </w:p>
    <w:p w:rsidR="000B0CF3" w:rsidRDefault="000B0CF3" w:rsidP="000B0CF3">
      <w:pPr>
        <w:pStyle w:val="NormalWeb"/>
      </w:pPr>
      <w:r>
        <w:t>The early volatility observed between 2002 and 2006 is primarily a function of small annual sample sizes. However, from 2010 onwards, the themes show greater stability. Despite the slight negative slopes, Environment remains the most persistent and stable theme, rarely dipping below 90% prevalence until the final data year.</w:t>
      </w:r>
    </w:p>
    <w:p w:rsidR="007E081B" w:rsidRPr="00BB5112" w:rsidRDefault="007E081B"/>
    <w:p w:rsidR="007E081B" w:rsidRPr="00BB5112" w:rsidRDefault="00CA055A">
      <w:pPr>
        <w:spacing w:before="100" w:after="60"/>
        <w:jc w:val="center"/>
      </w:pPr>
      <w:r>
        <w:rPr>
          <w:noProof/>
        </w:rPr>
        <w:lastRenderedPageBreak/>
        <w:drawing>
          <wp:inline distT="0" distB="0" distL="0" distR="0">
            <wp:extent cx="5943600" cy="20548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4_theme_trend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54860"/>
                    </a:xfrm>
                    <a:prstGeom prst="rect">
                      <a:avLst/>
                    </a:prstGeom>
                  </pic:spPr>
                </pic:pic>
              </a:graphicData>
            </a:graphic>
          </wp:inline>
        </w:drawing>
      </w:r>
    </w:p>
    <w:p w:rsidR="007E081B" w:rsidRPr="00BB5112" w:rsidRDefault="00AD7ED8" w:rsidP="004C7346">
      <w:pPr>
        <w:jc w:val="center"/>
        <w:rPr>
          <w:i/>
          <w:iCs/>
        </w:rPr>
      </w:pPr>
      <w:r>
        <w:rPr>
          <w:i/>
          <w:iCs/>
        </w:rPr>
        <w:t>Figure 3</w:t>
      </w:r>
      <w:r w:rsidR="004C7346" w:rsidRPr="00BB5112">
        <w:rPr>
          <w:i/>
          <w:iCs/>
        </w:rPr>
        <w:t xml:space="preserve">: Top Three Sustainability Themes </w:t>
      </w:r>
      <w:proofErr w:type="gramStart"/>
      <w:r w:rsidR="004C7346" w:rsidRPr="00BB5112">
        <w:rPr>
          <w:i/>
          <w:iCs/>
        </w:rPr>
        <w:t>Over</w:t>
      </w:r>
      <w:proofErr w:type="gramEnd"/>
      <w:r w:rsidR="004C7346" w:rsidRPr="00BB5112">
        <w:rPr>
          <w:i/>
          <w:iCs/>
        </w:rPr>
        <w:t xml:space="preserve"> Time (2002–2018). Each panel shows annual prevalence as a percentage of reports. Dashed line = </w:t>
      </w:r>
      <w:r w:rsidR="00961B14">
        <w:rPr>
          <w:i/>
          <w:iCs/>
        </w:rPr>
        <w:t>linear trend. Environment (-0.98</w:t>
      </w:r>
      <w:r w:rsidR="004C7346" w:rsidRPr="00BB5112">
        <w:rPr>
          <w:i/>
          <w:iCs/>
        </w:rPr>
        <w:t>%/year), Gove</w:t>
      </w:r>
      <w:r w:rsidR="00961B14">
        <w:rPr>
          <w:i/>
          <w:iCs/>
        </w:rPr>
        <w:t>rnance (-1.52%/year), Supply Chain (+0.85</w:t>
      </w:r>
      <w:r w:rsidR="004C7346" w:rsidRPr="00BB5112">
        <w:rPr>
          <w:i/>
          <w:iCs/>
        </w:rPr>
        <w:t>%/year).</w:t>
      </w:r>
    </w:p>
    <w:p w:rsidR="004C7346" w:rsidRPr="00BB5112" w:rsidRDefault="004C7346"/>
    <w:p w:rsidR="00BB5112" w:rsidRDefault="00BB5112" w:rsidP="00BB5112">
      <w:pPr>
        <w:spacing w:line="360" w:lineRule="auto"/>
        <w:jc w:val="both"/>
      </w:pPr>
    </w:p>
    <w:p w:rsidR="000B0CF3" w:rsidRPr="000B0CF3" w:rsidRDefault="000B0CF3" w:rsidP="000B0CF3">
      <w:pPr>
        <w:pStyle w:val="Heading3"/>
        <w:rPr>
          <w:color w:val="000000" w:themeColor="text1"/>
        </w:rPr>
      </w:pPr>
      <w:r w:rsidRPr="000B0CF3">
        <w:rPr>
          <w:color w:val="000000" w:themeColor="text1"/>
        </w:rPr>
        <w:t xml:space="preserve">C. </w:t>
      </w:r>
      <w:proofErr w:type="spellStart"/>
      <w:r w:rsidRPr="000B0CF3">
        <w:rPr>
          <w:color w:val="000000" w:themeColor="text1"/>
        </w:rPr>
        <w:t>Heatmap</w:t>
      </w:r>
      <w:proofErr w:type="spellEnd"/>
      <w:r w:rsidRPr="000B0CF3">
        <w:rPr>
          <w:color w:val="000000" w:themeColor="text1"/>
        </w:rPr>
        <w:t xml:space="preserve"> Analysis of All Themes</w:t>
      </w:r>
    </w:p>
    <w:p w:rsidR="000B0CF3" w:rsidRDefault="000B0CF3" w:rsidP="000B0CF3">
      <w:pPr>
        <w:pStyle w:val="NormalWeb"/>
      </w:pPr>
      <w:r>
        <w:rPr>
          <w:b/>
          <w:bCs/>
        </w:rPr>
        <w:t>Figure 4</w:t>
      </w:r>
      <w:r>
        <w:t xml:space="preserve"> provides a granular view of all eight sustainability themes. </w:t>
      </w:r>
      <w:r>
        <w:rPr>
          <w:b/>
          <w:bCs/>
        </w:rPr>
        <w:t>Environment</w:t>
      </w:r>
      <w:r>
        <w:t xml:space="preserve"> consistently occupies the darkest cells, maintaining 90%–100% prevalence in almost every year between 2003 and 2017. </w:t>
      </w:r>
      <w:r>
        <w:rPr>
          <w:b/>
          <w:bCs/>
        </w:rPr>
        <w:t>Human Rights</w:t>
      </w:r>
      <w:r>
        <w:t xml:space="preserve"> and </w:t>
      </w:r>
      <w:r>
        <w:rPr>
          <w:b/>
          <w:bCs/>
        </w:rPr>
        <w:t>Innovation</w:t>
      </w:r>
      <w:r>
        <w:t xml:space="preserve"> consistently show the lightest cells; Innovation, in particular, recorded 0% prevalence in 2003–2005 and again in 2018.</w:t>
      </w:r>
    </w:p>
    <w:p w:rsidR="000B0CF3" w:rsidRDefault="000B0CF3" w:rsidP="000B0CF3">
      <w:pPr>
        <w:pStyle w:val="NormalWeb"/>
      </w:pPr>
      <w:r>
        <w:t xml:space="preserve">A sharp drop-off is visible across all themes in 2018 (e.g., Environment falling to 66% and Governance to 33%). As noted in the methodology, this is an </w:t>
      </w:r>
      <w:proofErr w:type="spellStart"/>
      <w:r>
        <w:t>artifact</w:t>
      </w:r>
      <w:proofErr w:type="spellEnd"/>
      <w:r>
        <w:t xml:space="preserve"> of the small sample size for that specific year (n=3) rather than a shift in global reporting trends. From 2010 to 2017, there is a clear "darkening" and stabilization of the middle-tier themes (Supply Chain, Community, and Economic), suggesting that GRI reporting matured and became more comprehensive during this decade.</w:t>
      </w:r>
      <w:r w:rsidR="00AD7ED8" w:rsidRPr="00AD7ED8">
        <w:rPr>
          <w:noProof/>
        </w:rPr>
        <w:t xml:space="preserve"> </w:t>
      </w:r>
      <w:r w:rsidR="00AD7ED8" w:rsidRPr="00BB5112">
        <w:rPr>
          <w:noProof/>
        </w:rPr>
        <w:drawing>
          <wp:inline distT="0" distB="0" distL="0" distR="0" wp14:anchorId="2E27AD3C" wp14:editId="432D9882">
            <wp:extent cx="5943600" cy="27743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5_heatm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p>
    <w:p w:rsidR="007E081B" w:rsidRPr="00BB5112" w:rsidRDefault="007E081B">
      <w:pPr>
        <w:spacing w:before="100" w:after="60"/>
        <w:jc w:val="center"/>
      </w:pPr>
    </w:p>
    <w:p w:rsidR="007E081B" w:rsidRPr="00BB5112" w:rsidRDefault="00AD7ED8" w:rsidP="004C7346">
      <w:pPr>
        <w:jc w:val="center"/>
        <w:rPr>
          <w:i/>
          <w:iCs/>
        </w:rPr>
      </w:pPr>
      <w:r>
        <w:rPr>
          <w:i/>
          <w:iCs/>
        </w:rPr>
        <w:t>Figure 4</w:t>
      </w:r>
      <w:r w:rsidR="004C7346" w:rsidRPr="00BB5112">
        <w:rPr>
          <w:i/>
          <w:iCs/>
        </w:rPr>
        <w:t>: Dominant Sustainability Themes by Year (2002–2018). Values = percentage of reports containing each theme per year. Darker blue = higher prevalence.</w:t>
      </w:r>
    </w:p>
    <w:p w:rsidR="007E081B" w:rsidRPr="00BB5112" w:rsidRDefault="001E2305">
      <w:pPr>
        <w:spacing w:before="240" w:after="100"/>
      </w:pPr>
      <w:r w:rsidRPr="00BB5112">
        <w:rPr>
          <w:b/>
          <w:bCs/>
        </w:rPr>
        <w:t>VI. CONCLUSION</w:t>
      </w:r>
    </w:p>
    <w:p w:rsidR="007E081B" w:rsidRPr="00BB5112" w:rsidRDefault="000B0CF3">
      <w:r>
        <w:t xml:space="preserve">This study </w:t>
      </w:r>
      <w:proofErr w:type="spellStart"/>
      <w:r>
        <w:t>analyzed</w:t>
      </w:r>
      <w:proofErr w:type="spellEnd"/>
      <w:r>
        <w:t xml:space="preserve"> 972 GRI reports to identify dominant themes and their evolution. </w:t>
      </w:r>
      <w:r>
        <w:rPr>
          <w:b/>
          <w:bCs/>
        </w:rPr>
        <w:t>Environment (94.7%)</w:t>
      </w:r>
      <w:r>
        <w:t xml:space="preserve"> and </w:t>
      </w:r>
      <w:r>
        <w:rPr>
          <w:b/>
          <w:bCs/>
        </w:rPr>
        <w:t>Governance (88.8%)</w:t>
      </w:r>
      <w:r>
        <w:t xml:space="preserve"> are the foundational pillars of these reports. While linear regression shows a slight decrease in the percentage of reports covering these themes over time—most notably in </w:t>
      </w:r>
      <w:r>
        <w:rPr>
          <w:b/>
          <w:bCs/>
        </w:rPr>
        <w:t>Governance (-1.52%/year)</w:t>
      </w:r>
      <w:r>
        <w:t xml:space="preserve">—they remain the dominant focus of corporate disclosure. The data suggests that while the volume of GRI reports grew significantly from 2002 to 2018, the core thematic focus remains heavily weighted toward environmental impact and corporate oversight, with </w:t>
      </w:r>
      <w:r>
        <w:rPr>
          <w:b/>
          <w:bCs/>
        </w:rPr>
        <w:t>Innovation (42.8%)</w:t>
      </w:r>
      <w:r>
        <w:t xml:space="preserve"> remaining a secondary reporting priority.</w:t>
      </w:r>
    </w:p>
    <w:p w:rsidR="007E081B" w:rsidRPr="00BB5112" w:rsidRDefault="001E2305">
      <w:pPr>
        <w:spacing w:before="240" w:after="100"/>
      </w:pPr>
      <w:r w:rsidRPr="00BB5112">
        <w:rPr>
          <w:b/>
          <w:bCs/>
        </w:rPr>
        <w:t>VII. LIMITATIONS</w:t>
      </w:r>
    </w:p>
    <w:p w:rsidR="00710A35" w:rsidRDefault="00710A35" w:rsidP="00710A35">
      <w:pPr>
        <w:pStyle w:val="NormalWeb"/>
      </w:pPr>
      <w:r>
        <w:rPr>
          <w:b/>
          <w:bCs/>
        </w:rPr>
        <w:t>Sample Size Volatility:</w:t>
      </w:r>
      <w:r>
        <w:t xml:space="preserve"> As shown in </w:t>
      </w:r>
      <w:r>
        <w:rPr>
          <w:b/>
          <w:bCs/>
        </w:rPr>
        <w:t>Figures 3 and 4</w:t>
      </w:r>
      <w:r>
        <w:t xml:space="preserve">, the early years (2002–2006) and the final year (2018) suffer from small sample sizes (n &lt; 10). This explains the drastic data swings—like the dip in Governance to 33%—which are likely statistical </w:t>
      </w:r>
      <w:proofErr w:type="spellStart"/>
      <w:r>
        <w:t>artifacts</w:t>
      </w:r>
      <w:proofErr w:type="spellEnd"/>
      <w:r>
        <w:t xml:space="preserve"> rather than genuine industry shifts.</w:t>
      </w:r>
    </w:p>
    <w:p w:rsidR="00710A35" w:rsidRDefault="00710A35" w:rsidP="00710A35">
      <w:pPr>
        <w:pStyle w:val="NormalWeb"/>
      </w:pPr>
      <w:r>
        <w:rPr>
          <w:b/>
          <w:bCs/>
        </w:rPr>
        <w:t>Dictionary Constraints:</w:t>
      </w:r>
      <w:r>
        <w:t xml:space="preserve"> The keyword-based approach may miss reports using synonyms or emerging ESG terminology (e.g., "natural capital" instead of "environment") not present in the predefined dictionaries.</w:t>
      </w:r>
    </w:p>
    <w:p w:rsidR="00710A35" w:rsidRDefault="00710A35" w:rsidP="00710A35">
      <w:pPr>
        <w:pStyle w:val="NormalWeb"/>
      </w:pPr>
      <w:r>
        <w:rPr>
          <w:b/>
          <w:bCs/>
        </w:rPr>
        <w:t>Linguistic Bias:</w:t>
      </w:r>
      <w:r>
        <w:t xml:space="preserve"> By </w:t>
      </w:r>
      <w:proofErr w:type="spellStart"/>
      <w:r>
        <w:t>analyzing</w:t>
      </w:r>
      <w:proofErr w:type="spellEnd"/>
      <w:r>
        <w:t xml:space="preserve"> only </w:t>
      </w:r>
      <w:r>
        <w:rPr>
          <w:b/>
          <w:bCs/>
        </w:rPr>
        <w:t>English-language reports</w:t>
      </w:r>
      <w:r>
        <w:t>, the study may be biased toward Western multinational norms, potentially overlooking regional sustainability priorities in non-English speaking markets.</w:t>
      </w:r>
    </w:p>
    <w:p w:rsidR="00023C19" w:rsidRPr="00BB5112" w:rsidRDefault="00023C19" w:rsidP="00023C19">
      <w:pPr>
        <w:spacing w:after="100" w:line="360" w:lineRule="auto"/>
        <w:jc w:val="both"/>
      </w:pPr>
    </w:p>
    <w:p w:rsidR="00023C19" w:rsidRPr="00BB5112" w:rsidRDefault="001E2305" w:rsidP="00023C19">
      <w:pPr>
        <w:spacing w:after="100" w:line="360" w:lineRule="auto"/>
        <w:jc w:val="both"/>
        <w:rPr>
          <w:b/>
          <w:bCs/>
        </w:rPr>
      </w:pPr>
      <w:r w:rsidRPr="00BB5112">
        <w:rPr>
          <w:b/>
          <w:bCs/>
        </w:rPr>
        <w:t>REFERENCES</w:t>
      </w:r>
    </w:p>
    <w:p w:rsidR="00AD7ED8" w:rsidRDefault="00AD7ED8" w:rsidP="00AD7ED8">
      <w:pPr>
        <w:pStyle w:val="NormalWeb"/>
      </w:pPr>
      <w:proofErr w:type="spellStart"/>
      <w:r>
        <w:rPr>
          <w:b/>
          <w:bCs/>
        </w:rPr>
        <w:t>Berad</w:t>
      </w:r>
      <w:proofErr w:type="spellEnd"/>
      <w:r>
        <w:rPr>
          <w:b/>
          <w:bCs/>
        </w:rPr>
        <w:t>, N.</w:t>
      </w:r>
      <w:r>
        <w:t xml:space="preserve"> (2011). Corporate social responsibility: Issues and challenges in India. </w:t>
      </w:r>
      <w:r>
        <w:rPr>
          <w:i/>
          <w:iCs/>
        </w:rPr>
        <w:t>Journal of Modern Accounting and Auditing, 7</w:t>
      </w:r>
      <w:r>
        <w:t>(8), 1135–1139.</w:t>
      </w:r>
    </w:p>
    <w:p w:rsidR="00AD7ED8" w:rsidRDefault="00AD7ED8" w:rsidP="00AD7ED8">
      <w:pPr>
        <w:pStyle w:val="NormalWeb"/>
      </w:pPr>
      <w:proofErr w:type="spellStart"/>
      <w:r>
        <w:rPr>
          <w:b/>
          <w:bCs/>
        </w:rPr>
        <w:t>Fiechter</w:t>
      </w:r>
      <w:proofErr w:type="spellEnd"/>
      <w:r>
        <w:rPr>
          <w:b/>
          <w:bCs/>
        </w:rPr>
        <w:t xml:space="preserve">, P., </w:t>
      </w:r>
      <w:proofErr w:type="spellStart"/>
      <w:r>
        <w:rPr>
          <w:b/>
          <w:bCs/>
        </w:rPr>
        <w:t>Hitz</w:t>
      </w:r>
      <w:proofErr w:type="spellEnd"/>
      <w:r>
        <w:rPr>
          <w:b/>
          <w:bCs/>
        </w:rPr>
        <w:t>, J.-M., &amp; Lehmann, N.</w:t>
      </w:r>
      <w:r>
        <w:t xml:space="preserve"> (2022). Real effects of a widespread CSR reporting mandate: Evidence from the European Union's CSR directive. </w:t>
      </w:r>
      <w:r>
        <w:rPr>
          <w:rStyle w:val="citation-13"/>
          <w:i/>
          <w:iCs/>
        </w:rPr>
        <w:t>Journal of Accounting Research, 60</w:t>
      </w:r>
      <w:r>
        <w:rPr>
          <w:rStyle w:val="citation-13"/>
        </w:rPr>
        <w:t>(4), 1499–1549.</w:t>
      </w:r>
    </w:p>
    <w:p w:rsidR="00AD7ED8" w:rsidRDefault="00AD7ED8" w:rsidP="00AD7ED8">
      <w:pPr>
        <w:pStyle w:val="NormalWeb"/>
      </w:pPr>
      <w:r>
        <w:rPr>
          <w:b/>
          <w:bCs/>
        </w:rPr>
        <w:t>Global Reporting Initiative.</w:t>
      </w:r>
      <w:r>
        <w:t xml:space="preserve"> (2022). </w:t>
      </w:r>
      <w:r>
        <w:rPr>
          <w:i/>
          <w:iCs/>
        </w:rPr>
        <w:t>GRI standards glossary</w:t>
      </w:r>
      <w:r>
        <w:t xml:space="preserve">. </w:t>
      </w:r>
      <w:hyperlink r:id="rId11" w:tgtFrame="_blank" w:history="1">
        <w:r>
          <w:rPr>
            <w:rStyle w:val="Hyperlink"/>
          </w:rPr>
          <w:t>https://www.globalreporting.org/standards/</w:t>
        </w:r>
      </w:hyperlink>
    </w:p>
    <w:p w:rsidR="00AD7ED8" w:rsidRDefault="00AD7ED8" w:rsidP="00AD7ED8">
      <w:pPr>
        <w:pStyle w:val="NormalWeb"/>
      </w:pPr>
      <w:proofErr w:type="spellStart"/>
      <w:r>
        <w:rPr>
          <w:b/>
          <w:bCs/>
        </w:rPr>
        <w:t>Luhmann</w:t>
      </w:r>
      <w:proofErr w:type="spellEnd"/>
      <w:r>
        <w:rPr>
          <w:b/>
          <w:bCs/>
        </w:rPr>
        <w:t xml:space="preserve">, H., &amp; </w:t>
      </w:r>
      <w:proofErr w:type="spellStart"/>
      <w:r>
        <w:rPr>
          <w:b/>
          <w:bCs/>
        </w:rPr>
        <w:t>Theuvsen</w:t>
      </w:r>
      <w:proofErr w:type="spellEnd"/>
      <w:r>
        <w:rPr>
          <w:b/>
          <w:bCs/>
        </w:rPr>
        <w:t>, L.</w:t>
      </w:r>
      <w:r>
        <w:t xml:space="preserve"> (2017). Corporate social responsibility: Exploring a framework for the </w:t>
      </w:r>
      <w:proofErr w:type="spellStart"/>
      <w:r>
        <w:t>agri</w:t>
      </w:r>
      <w:proofErr w:type="spellEnd"/>
      <w:r>
        <w:t xml:space="preserve">-food sector. </w:t>
      </w:r>
      <w:r>
        <w:rPr>
          <w:i/>
          <w:iCs/>
        </w:rPr>
        <w:t>Journal of Agricultural and Environmental Ethics, 30</w:t>
      </w:r>
      <w:r>
        <w:t>(2), 241–253.</w:t>
      </w:r>
    </w:p>
    <w:p w:rsidR="00AD7ED8" w:rsidRDefault="00AD7ED8" w:rsidP="00AD7ED8">
      <w:pPr>
        <w:pStyle w:val="NormalWeb"/>
      </w:pPr>
      <w:proofErr w:type="spellStart"/>
      <w:r>
        <w:rPr>
          <w:rStyle w:val="citation-12"/>
          <w:b/>
          <w:bCs/>
        </w:rPr>
        <w:lastRenderedPageBreak/>
        <w:t>Moravcikova</w:t>
      </w:r>
      <w:proofErr w:type="spellEnd"/>
      <w:r>
        <w:rPr>
          <w:rStyle w:val="citation-12"/>
          <w:b/>
          <w:bCs/>
        </w:rPr>
        <w:t xml:space="preserve">, K., </w:t>
      </w:r>
      <w:proofErr w:type="spellStart"/>
      <w:r>
        <w:rPr>
          <w:rStyle w:val="citation-12"/>
          <w:b/>
          <w:bCs/>
        </w:rPr>
        <w:t>Stefanikova</w:t>
      </w:r>
      <w:proofErr w:type="spellEnd"/>
      <w:r>
        <w:rPr>
          <w:rStyle w:val="citation-12"/>
          <w:b/>
          <w:bCs/>
        </w:rPr>
        <w:t xml:space="preserve">, L., &amp; </w:t>
      </w:r>
      <w:proofErr w:type="spellStart"/>
      <w:r>
        <w:rPr>
          <w:rStyle w:val="citation-12"/>
          <w:b/>
          <w:bCs/>
        </w:rPr>
        <w:t>Rypakova</w:t>
      </w:r>
      <w:proofErr w:type="spellEnd"/>
      <w:r>
        <w:rPr>
          <w:rStyle w:val="citation-12"/>
          <w:b/>
          <w:bCs/>
        </w:rPr>
        <w:t>, M.</w:t>
      </w:r>
      <w:r>
        <w:rPr>
          <w:rStyle w:val="citation-12"/>
        </w:rPr>
        <w:t xml:space="preserve"> (2015).</w:t>
      </w:r>
      <w:r>
        <w:t xml:space="preserve"> </w:t>
      </w:r>
      <w:r>
        <w:rPr>
          <w:rStyle w:val="citation-11"/>
        </w:rPr>
        <w:t>CSR reporting as an important tool of CSR communication.</w:t>
      </w:r>
      <w:r>
        <w:t xml:space="preserve"> </w:t>
      </w:r>
      <w:r>
        <w:rPr>
          <w:rStyle w:val="citation-10"/>
          <w:i/>
          <w:iCs/>
        </w:rPr>
        <w:t>Procedia Economics and Finance, 26</w:t>
      </w:r>
      <w:r>
        <w:rPr>
          <w:rStyle w:val="citation-10"/>
        </w:rPr>
        <w:t>, 332–338.</w:t>
      </w:r>
    </w:p>
    <w:p w:rsidR="00AD7ED8" w:rsidRDefault="00AD7ED8" w:rsidP="00AD7ED8">
      <w:pPr>
        <w:pStyle w:val="NormalWeb"/>
      </w:pPr>
      <w:proofErr w:type="spellStart"/>
      <w:r>
        <w:rPr>
          <w:rStyle w:val="citation-9"/>
          <w:b/>
          <w:bCs/>
        </w:rPr>
        <w:t>Pomering</w:t>
      </w:r>
      <w:proofErr w:type="spellEnd"/>
      <w:r>
        <w:rPr>
          <w:rStyle w:val="citation-9"/>
          <w:b/>
          <w:bCs/>
        </w:rPr>
        <w:t xml:space="preserve">, A., &amp; </w:t>
      </w:r>
      <w:proofErr w:type="spellStart"/>
      <w:r>
        <w:rPr>
          <w:rStyle w:val="citation-9"/>
          <w:b/>
          <w:bCs/>
        </w:rPr>
        <w:t>Dolnicar</w:t>
      </w:r>
      <w:proofErr w:type="spellEnd"/>
      <w:r>
        <w:rPr>
          <w:rStyle w:val="citation-9"/>
          <w:b/>
          <w:bCs/>
        </w:rPr>
        <w:t>, S.</w:t>
      </w:r>
      <w:r>
        <w:rPr>
          <w:rStyle w:val="citation-9"/>
        </w:rPr>
        <w:t xml:space="preserve"> (2009).</w:t>
      </w:r>
      <w:r>
        <w:t xml:space="preserve"> Assessing the prerequisite of successful CSR implementation: Are consumers aware of CSR initiatives? </w:t>
      </w:r>
      <w:r>
        <w:rPr>
          <w:i/>
          <w:iCs/>
        </w:rPr>
        <w:t>Journal of Business Ethics, 85</w:t>
      </w:r>
      <w:r>
        <w:t>(S2), 285–301.</w:t>
      </w:r>
    </w:p>
    <w:p w:rsidR="00AD7ED8" w:rsidRDefault="00AD7ED8" w:rsidP="00AD7ED8">
      <w:pPr>
        <w:pStyle w:val="NormalWeb"/>
      </w:pPr>
      <w:proofErr w:type="spellStart"/>
      <w:r>
        <w:rPr>
          <w:b/>
          <w:bCs/>
        </w:rPr>
        <w:t>Tufte</w:t>
      </w:r>
      <w:proofErr w:type="spellEnd"/>
      <w:r>
        <w:rPr>
          <w:b/>
          <w:bCs/>
        </w:rPr>
        <w:t>, E. R.</w:t>
      </w:r>
      <w:r>
        <w:t xml:space="preserve"> (2001). </w:t>
      </w:r>
      <w:r>
        <w:rPr>
          <w:rStyle w:val="citation-8"/>
          <w:i/>
          <w:iCs/>
        </w:rPr>
        <w:t>The visual display of quantitative information</w:t>
      </w:r>
      <w:r>
        <w:rPr>
          <w:rStyle w:val="citation-8"/>
        </w:rPr>
        <w:t xml:space="preserve"> (2nd </w:t>
      </w:r>
      <w:proofErr w:type="gramStart"/>
      <w:r>
        <w:rPr>
          <w:rStyle w:val="citation-8"/>
        </w:rPr>
        <w:t>ed</w:t>
      </w:r>
      <w:proofErr w:type="gramEnd"/>
      <w:r>
        <w:rPr>
          <w:rStyle w:val="citation-8"/>
        </w:rPr>
        <w:t>.). Graphics Press.</w:t>
      </w:r>
    </w:p>
    <w:p w:rsidR="007E081B" w:rsidRPr="00BB5112" w:rsidRDefault="007E081B" w:rsidP="00023C19">
      <w:pPr>
        <w:spacing w:after="100" w:line="360" w:lineRule="auto"/>
        <w:ind w:left="720" w:hanging="720"/>
        <w:jc w:val="both"/>
      </w:pPr>
    </w:p>
    <w:sectPr w:rsidR="007E081B" w:rsidRPr="00BB5112">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1B0" w:rsidRDefault="000951B0">
      <w:r>
        <w:separator/>
      </w:r>
    </w:p>
  </w:endnote>
  <w:endnote w:type="continuationSeparator" w:id="0">
    <w:p w:rsidR="000951B0" w:rsidRDefault="00095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81B" w:rsidRDefault="001E2305">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D7ED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1B0" w:rsidRDefault="000951B0">
      <w:r>
        <w:separator/>
      </w:r>
    </w:p>
  </w:footnote>
  <w:footnote w:type="continuationSeparator" w:id="0">
    <w:p w:rsidR="000951B0" w:rsidRDefault="00095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C441B"/>
    <w:multiLevelType w:val="hybridMultilevel"/>
    <w:tmpl w:val="546C3330"/>
    <w:lvl w:ilvl="0" w:tplc="8CD2EAD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38279A"/>
    <w:multiLevelType w:val="multilevel"/>
    <w:tmpl w:val="E022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003ECB"/>
    <w:multiLevelType w:val="multilevel"/>
    <w:tmpl w:val="5864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544F8"/>
    <w:multiLevelType w:val="hybridMultilevel"/>
    <w:tmpl w:val="E44E0F1A"/>
    <w:lvl w:ilvl="0" w:tplc="E4F2BEE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F3759F"/>
    <w:multiLevelType w:val="hybridMultilevel"/>
    <w:tmpl w:val="721C0722"/>
    <w:lvl w:ilvl="0" w:tplc="27147606">
      <w:start w:val="1"/>
      <w:numFmt w:val="bullet"/>
      <w:lvlText w:val="●"/>
      <w:lvlJc w:val="left"/>
      <w:pPr>
        <w:ind w:left="720" w:hanging="360"/>
      </w:pPr>
    </w:lvl>
    <w:lvl w:ilvl="1" w:tplc="34AC343A">
      <w:start w:val="1"/>
      <w:numFmt w:val="bullet"/>
      <w:lvlText w:val="○"/>
      <w:lvlJc w:val="left"/>
      <w:pPr>
        <w:ind w:left="1440" w:hanging="360"/>
      </w:pPr>
    </w:lvl>
    <w:lvl w:ilvl="2" w:tplc="F2DA2874">
      <w:start w:val="1"/>
      <w:numFmt w:val="bullet"/>
      <w:lvlText w:val="■"/>
      <w:lvlJc w:val="left"/>
      <w:pPr>
        <w:ind w:left="2160" w:hanging="360"/>
      </w:pPr>
    </w:lvl>
    <w:lvl w:ilvl="3" w:tplc="5E881916">
      <w:start w:val="1"/>
      <w:numFmt w:val="bullet"/>
      <w:lvlText w:val="●"/>
      <w:lvlJc w:val="left"/>
      <w:pPr>
        <w:ind w:left="2880" w:hanging="360"/>
      </w:pPr>
    </w:lvl>
    <w:lvl w:ilvl="4" w:tplc="B900E674">
      <w:start w:val="1"/>
      <w:numFmt w:val="bullet"/>
      <w:lvlText w:val="○"/>
      <w:lvlJc w:val="left"/>
      <w:pPr>
        <w:ind w:left="3600" w:hanging="360"/>
      </w:pPr>
    </w:lvl>
    <w:lvl w:ilvl="5" w:tplc="745C5C54">
      <w:start w:val="1"/>
      <w:numFmt w:val="bullet"/>
      <w:lvlText w:val="■"/>
      <w:lvlJc w:val="left"/>
      <w:pPr>
        <w:ind w:left="4320" w:hanging="360"/>
      </w:pPr>
    </w:lvl>
    <w:lvl w:ilvl="6" w:tplc="7A72D0EA">
      <w:start w:val="1"/>
      <w:numFmt w:val="bullet"/>
      <w:lvlText w:val="●"/>
      <w:lvlJc w:val="left"/>
      <w:pPr>
        <w:ind w:left="5040" w:hanging="360"/>
      </w:pPr>
    </w:lvl>
    <w:lvl w:ilvl="7" w:tplc="2B1E72AC">
      <w:start w:val="1"/>
      <w:numFmt w:val="bullet"/>
      <w:lvlText w:val="●"/>
      <w:lvlJc w:val="left"/>
      <w:pPr>
        <w:ind w:left="5760" w:hanging="360"/>
      </w:pPr>
    </w:lvl>
    <w:lvl w:ilvl="8" w:tplc="AD2C1B7C">
      <w:start w:val="1"/>
      <w:numFmt w:val="bullet"/>
      <w:lvlText w:val="●"/>
      <w:lvlJc w:val="left"/>
      <w:pPr>
        <w:ind w:left="6480" w:hanging="360"/>
      </w:pPr>
    </w:lvl>
  </w:abstractNum>
  <w:num w:numId="1">
    <w:abstractNumId w:val="4"/>
    <w:lvlOverride w:ilvl="0">
      <w:startOverride w:val="1"/>
    </w:lvlOverride>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81B"/>
    <w:rsid w:val="00023C19"/>
    <w:rsid w:val="00076268"/>
    <w:rsid w:val="000951B0"/>
    <w:rsid w:val="000B0CF3"/>
    <w:rsid w:val="00122248"/>
    <w:rsid w:val="001E2305"/>
    <w:rsid w:val="002F4207"/>
    <w:rsid w:val="004C7346"/>
    <w:rsid w:val="004F2CD4"/>
    <w:rsid w:val="006F3AAE"/>
    <w:rsid w:val="00710A35"/>
    <w:rsid w:val="007E081B"/>
    <w:rsid w:val="00865887"/>
    <w:rsid w:val="00961B14"/>
    <w:rsid w:val="00AD7ED8"/>
    <w:rsid w:val="00BB5112"/>
    <w:rsid w:val="00CA055A"/>
    <w:rsid w:val="00D5558A"/>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6AE22"/>
  <w15:docId w15:val="{812FF2C1-5021-4067-9B53-B352DFC7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6F3AAE"/>
    <w:pPr>
      <w:spacing w:before="100" w:beforeAutospacing="1" w:after="100" w:afterAutospacing="1"/>
    </w:pPr>
  </w:style>
  <w:style w:type="character" w:styleId="Strong">
    <w:name w:val="Strong"/>
    <w:basedOn w:val="DefaultParagraphFont"/>
    <w:uiPriority w:val="22"/>
    <w:qFormat/>
    <w:rsid w:val="006F3AAE"/>
    <w:rPr>
      <w:b/>
      <w:bCs/>
    </w:rPr>
  </w:style>
  <w:style w:type="character" w:styleId="Emphasis">
    <w:name w:val="Emphasis"/>
    <w:basedOn w:val="DefaultParagraphFont"/>
    <w:uiPriority w:val="20"/>
    <w:qFormat/>
    <w:rsid w:val="00023C19"/>
    <w:rPr>
      <w:i/>
      <w:iCs/>
    </w:rPr>
  </w:style>
  <w:style w:type="paragraph" w:styleId="NormalWeb">
    <w:name w:val="Normal (Web)"/>
    <w:basedOn w:val="Normal"/>
    <w:uiPriority w:val="99"/>
    <w:semiHidden/>
    <w:unhideWhenUsed/>
    <w:rsid w:val="00CA055A"/>
    <w:pPr>
      <w:spacing w:before="100" w:beforeAutospacing="1" w:after="100" w:afterAutospacing="1"/>
    </w:pPr>
  </w:style>
  <w:style w:type="character" w:customStyle="1" w:styleId="citation-13">
    <w:name w:val="citation-13"/>
    <w:basedOn w:val="DefaultParagraphFont"/>
    <w:rsid w:val="00AD7ED8"/>
  </w:style>
  <w:style w:type="character" w:customStyle="1" w:styleId="citation-12">
    <w:name w:val="citation-12"/>
    <w:basedOn w:val="DefaultParagraphFont"/>
    <w:rsid w:val="00AD7ED8"/>
  </w:style>
  <w:style w:type="character" w:customStyle="1" w:styleId="citation-11">
    <w:name w:val="citation-11"/>
    <w:basedOn w:val="DefaultParagraphFont"/>
    <w:rsid w:val="00AD7ED8"/>
  </w:style>
  <w:style w:type="character" w:customStyle="1" w:styleId="citation-10">
    <w:name w:val="citation-10"/>
    <w:basedOn w:val="DefaultParagraphFont"/>
    <w:rsid w:val="00AD7ED8"/>
  </w:style>
  <w:style w:type="character" w:customStyle="1" w:styleId="citation-9">
    <w:name w:val="citation-9"/>
    <w:basedOn w:val="DefaultParagraphFont"/>
    <w:rsid w:val="00AD7ED8"/>
  </w:style>
  <w:style w:type="character" w:customStyle="1" w:styleId="citation-8">
    <w:name w:val="citation-8"/>
    <w:basedOn w:val="DefaultParagraphFont"/>
    <w:rsid w:val="00AD7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183794">
      <w:bodyDiv w:val="1"/>
      <w:marLeft w:val="0"/>
      <w:marRight w:val="0"/>
      <w:marTop w:val="0"/>
      <w:marBottom w:val="0"/>
      <w:divBdr>
        <w:top w:val="none" w:sz="0" w:space="0" w:color="auto"/>
        <w:left w:val="none" w:sz="0" w:space="0" w:color="auto"/>
        <w:bottom w:val="none" w:sz="0" w:space="0" w:color="auto"/>
        <w:right w:val="none" w:sz="0" w:space="0" w:color="auto"/>
      </w:divBdr>
    </w:div>
    <w:div w:id="402722487">
      <w:bodyDiv w:val="1"/>
      <w:marLeft w:val="0"/>
      <w:marRight w:val="0"/>
      <w:marTop w:val="0"/>
      <w:marBottom w:val="0"/>
      <w:divBdr>
        <w:top w:val="none" w:sz="0" w:space="0" w:color="auto"/>
        <w:left w:val="none" w:sz="0" w:space="0" w:color="auto"/>
        <w:bottom w:val="none" w:sz="0" w:space="0" w:color="auto"/>
        <w:right w:val="none" w:sz="0" w:space="0" w:color="auto"/>
      </w:divBdr>
    </w:div>
    <w:div w:id="441388990">
      <w:bodyDiv w:val="1"/>
      <w:marLeft w:val="0"/>
      <w:marRight w:val="0"/>
      <w:marTop w:val="0"/>
      <w:marBottom w:val="0"/>
      <w:divBdr>
        <w:top w:val="none" w:sz="0" w:space="0" w:color="auto"/>
        <w:left w:val="none" w:sz="0" w:space="0" w:color="auto"/>
        <w:bottom w:val="none" w:sz="0" w:space="0" w:color="auto"/>
        <w:right w:val="none" w:sz="0" w:space="0" w:color="auto"/>
      </w:divBdr>
    </w:div>
    <w:div w:id="494958862">
      <w:bodyDiv w:val="1"/>
      <w:marLeft w:val="0"/>
      <w:marRight w:val="0"/>
      <w:marTop w:val="0"/>
      <w:marBottom w:val="0"/>
      <w:divBdr>
        <w:top w:val="none" w:sz="0" w:space="0" w:color="auto"/>
        <w:left w:val="none" w:sz="0" w:space="0" w:color="auto"/>
        <w:bottom w:val="none" w:sz="0" w:space="0" w:color="auto"/>
        <w:right w:val="none" w:sz="0" w:space="0" w:color="auto"/>
      </w:divBdr>
    </w:div>
    <w:div w:id="814882428">
      <w:bodyDiv w:val="1"/>
      <w:marLeft w:val="0"/>
      <w:marRight w:val="0"/>
      <w:marTop w:val="0"/>
      <w:marBottom w:val="0"/>
      <w:divBdr>
        <w:top w:val="none" w:sz="0" w:space="0" w:color="auto"/>
        <w:left w:val="none" w:sz="0" w:space="0" w:color="auto"/>
        <w:bottom w:val="none" w:sz="0" w:space="0" w:color="auto"/>
        <w:right w:val="none" w:sz="0" w:space="0" w:color="auto"/>
      </w:divBdr>
    </w:div>
    <w:div w:id="933976205">
      <w:bodyDiv w:val="1"/>
      <w:marLeft w:val="0"/>
      <w:marRight w:val="0"/>
      <w:marTop w:val="0"/>
      <w:marBottom w:val="0"/>
      <w:divBdr>
        <w:top w:val="none" w:sz="0" w:space="0" w:color="auto"/>
        <w:left w:val="none" w:sz="0" w:space="0" w:color="auto"/>
        <w:bottom w:val="none" w:sz="0" w:space="0" w:color="auto"/>
        <w:right w:val="none" w:sz="0" w:space="0" w:color="auto"/>
      </w:divBdr>
    </w:div>
    <w:div w:id="1175878220">
      <w:bodyDiv w:val="1"/>
      <w:marLeft w:val="0"/>
      <w:marRight w:val="0"/>
      <w:marTop w:val="0"/>
      <w:marBottom w:val="0"/>
      <w:divBdr>
        <w:top w:val="none" w:sz="0" w:space="0" w:color="auto"/>
        <w:left w:val="none" w:sz="0" w:space="0" w:color="auto"/>
        <w:bottom w:val="none" w:sz="0" w:space="0" w:color="auto"/>
        <w:right w:val="none" w:sz="0" w:space="0" w:color="auto"/>
      </w:divBdr>
    </w:div>
    <w:div w:id="1283461723">
      <w:bodyDiv w:val="1"/>
      <w:marLeft w:val="0"/>
      <w:marRight w:val="0"/>
      <w:marTop w:val="0"/>
      <w:marBottom w:val="0"/>
      <w:divBdr>
        <w:top w:val="none" w:sz="0" w:space="0" w:color="auto"/>
        <w:left w:val="none" w:sz="0" w:space="0" w:color="auto"/>
        <w:bottom w:val="none" w:sz="0" w:space="0" w:color="auto"/>
        <w:right w:val="none" w:sz="0" w:space="0" w:color="auto"/>
      </w:divBdr>
    </w:div>
    <w:div w:id="1532496605">
      <w:bodyDiv w:val="1"/>
      <w:marLeft w:val="0"/>
      <w:marRight w:val="0"/>
      <w:marTop w:val="0"/>
      <w:marBottom w:val="0"/>
      <w:divBdr>
        <w:top w:val="none" w:sz="0" w:space="0" w:color="auto"/>
        <w:left w:val="none" w:sz="0" w:space="0" w:color="auto"/>
        <w:bottom w:val="none" w:sz="0" w:space="0" w:color="auto"/>
        <w:right w:val="none" w:sz="0" w:space="0" w:color="auto"/>
      </w:divBdr>
    </w:div>
    <w:div w:id="1654916904">
      <w:bodyDiv w:val="1"/>
      <w:marLeft w:val="0"/>
      <w:marRight w:val="0"/>
      <w:marTop w:val="0"/>
      <w:marBottom w:val="0"/>
      <w:divBdr>
        <w:top w:val="none" w:sz="0" w:space="0" w:color="auto"/>
        <w:left w:val="none" w:sz="0" w:space="0" w:color="auto"/>
        <w:bottom w:val="none" w:sz="0" w:space="0" w:color="auto"/>
        <w:right w:val="none" w:sz="0" w:space="0" w:color="auto"/>
      </w:divBdr>
    </w:div>
    <w:div w:id="1787964638">
      <w:bodyDiv w:val="1"/>
      <w:marLeft w:val="0"/>
      <w:marRight w:val="0"/>
      <w:marTop w:val="0"/>
      <w:marBottom w:val="0"/>
      <w:divBdr>
        <w:top w:val="none" w:sz="0" w:space="0" w:color="auto"/>
        <w:left w:val="none" w:sz="0" w:space="0" w:color="auto"/>
        <w:bottom w:val="none" w:sz="0" w:space="0" w:color="auto"/>
        <w:right w:val="none" w:sz="0" w:space="0" w:color="auto"/>
      </w:divBdr>
    </w:div>
    <w:div w:id="2020111075">
      <w:bodyDiv w:val="1"/>
      <w:marLeft w:val="0"/>
      <w:marRight w:val="0"/>
      <w:marTop w:val="0"/>
      <w:marBottom w:val="0"/>
      <w:divBdr>
        <w:top w:val="none" w:sz="0" w:space="0" w:color="auto"/>
        <w:left w:val="none" w:sz="0" w:space="0" w:color="auto"/>
        <w:bottom w:val="none" w:sz="0" w:space="0" w:color="auto"/>
        <w:right w:val="none" w:sz="0" w:space="0" w:color="auto"/>
      </w:divBdr>
    </w:div>
    <w:div w:id="2022464877">
      <w:bodyDiv w:val="1"/>
      <w:marLeft w:val="0"/>
      <w:marRight w:val="0"/>
      <w:marTop w:val="0"/>
      <w:marBottom w:val="0"/>
      <w:divBdr>
        <w:top w:val="none" w:sz="0" w:space="0" w:color="auto"/>
        <w:left w:val="none" w:sz="0" w:space="0" w:color="auto"/>
        <w:bottom w:val="none" w:sz="0" w:space="0" w:color="auto"/>
        <w:right w:val="none" w:sz="0" w:space="0" w:color="auto"/>
      </w:divBdr>
    </w:div>
    <w:div w:id="2076126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lobalreporting.org/standards/"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7</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kundan giri</cp:lastModifiedBy>
  <cp:revision>27</cp:revision>
  <dcterms:created xsi:type="dcterms:W3CDTF">2026-03-13T23:57:00Z</dcterms:created>
  <dcterms:modified xsi:type="dcterms:W3CDTF">2026-03-17T00:10:00Z</dcterms:modified>
</cp:coreProperties>
</file>