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03 Synthesize</w:t>
      </w:r>
    </w:p>
    <w:p w:rsidR="00000000" w:rsidDel="00000000" w:rsidP="00000000" w:rsidRDefault="00000000" w:rsidRPr="00000000" w14:paraId="00000001">
      <w:pPr>
        <w:contextualSpacing w:val="0"/>
        <w:rPr/>
      </w:pPr>
      <w:r w:rsidDel="00000000" w:rsidR="00000000" w:rsidRPr="00000000">
        <w:rPr>
          <w:rtl w:val="0"/>
        </w:rPr>
        <w:t xml:space="preserve">Finale Liste von Hauptfunktionen (funktionale Benutzeranforderungen)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Gem. Feedback Suprax</w:t>
      </w:r>
    </w:p>
    <w:p w:rsidR="00000000" w:rsidDel="00000000" w:rsidP="00000000" w:rsidRDefault="00000000" w:rsidRPr="00000000" w14:paraId="00000004">
      <w:pPr>
        <w:numPr>
          <w:ilvl w:val="0"/>
          <w:numId w:val="2"/>
        </w:numPr>
        <w:spacing w:after="160" w:line="259" w:lineRule="auto"/>
        <w:ind w:left="720" w:hanging="360"/>
        <w:rPr/>
      </w:pPr>
      <w:r w:rsidDel="00000000" w:rsidR="00000000" w:rsidRPr="00000000">
        <w:rPr>
          <w:rtl w:val="0"/>
        </w:rPr>
        <w:t xml:space="preserve">Eine Offline-Ansicht. Ein Stromausfall ist kritisch, da nicht einsehbar ist, wer welche Mittel benötigt.</w:t>
      </w:r>
    </w:p>
    <w:p w:rsidR="00000000" w:rsidDel="00000000" w:rsidP="00000000" w:rsidRDefault="00000000" w:rsidRPr="00000000" w14:paraId="00000005">
      <w:pPr>
        <w:numPr>
          <w:ilvl w:val="0"/>
          <w:numId w:val="2"/>
        </w:numPr>
        <w:spacing w:after="160" w:line="259" w:lineRule="auto"/>
        <w:ind w:left="720" w:hanging="360"/>
        <w:rPr/>
      </w:pPr>
      <w:r w:rsidDel="00000000" w:rsidR="00000000" w:rsidRPr="00000000">
        <w:rPr>
          <w:rtl w:val="0"/>
        </w:rPr>
        <w:t xml:space="preserve">Verbesserung im Bereich Medikamente rüsten, das momentan fehleranfällig ist.</w:t>
      </w:r>
    </w:p>
    <w:p w:rsidR="00000000" w:rsidDel="00000000" w:rsidP="00000000" w:rsidRDefault="00000000" w:rsidRPr="00000000" w14:paraId="00000006">
      <w:pPr>
        <w:numPr>
          <w:ilvl w:val="0"/>
          <w:numId w:val="2"/>
        </w:numPr>
        <w:spacing w:after="160" w:line="259" w:lineRule="auto"/>
        <w:ind w:left="720" w:hanging="360"/>
        <w:rPr/>
      </w:pPr>
      <w:r w:rsidDel="00000000" w:rsidR="00000000" w:rsidRPr="00000000">
        <w:rPr>
          <w:rtl w:val="0"/>
        </w:rPr>
        <w:t xml:space="preserve">Eine Verbesserung der Informationsübertragung. Zum einen zwischen den Schichten und zum anderen beim wöchentlichen Rapport, welcher noch stichwortartig und auf Papier geschieht.</w:t>
      </w:r>
    </w:p>
    <w:p w:rsidR="00000000" w:rsidDel="00000000" w:rsidP="00000000" w:rsidRDefault="00000000" w:rsidRPr="00000000" w14:paraId="00000007">
      <w:pPr>
        <w:numPr>
          <w:ilvl w:val="0"/>
          <w:numId w:val="2"/>
        </w:numPr>
        <w:spacing w:after="160" w:line="259" w:lineRule="auto"/>
        <w:ind w:left="720" w:hanging="360"/>
        <w:rPr/>
      </w:pPr>
      <w:r w:rsidDel="00000000" w:rsidR="00000000" w:rsidRPr="00000000">
        <w:rPr>
          <w:rtl w:val="0"/>
        </w:rPr>
        <w:t xml:space="preserve">Eine Möglichkeit, ein anschauliches Feedback (Standortbestimmung) sowohl für die Patienten als auch gegen aussen für die Politik / Öffentlichkeit zu geben. Beispiele sind Kennzahlen wie HIV- und Hepatitis C Ansteckungsrate präsentieren zu können oder eine “Kennzahlenkurve” für die Patienten.</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Eine Analyse der Patienten, da u.U. unklar ist, ob sie bereits berauscht sind und eine Abgabe von Stoffen bedrohlich werden kann. Je nach Ergebnis wird vorgeschlagen z.B. nur eine halbe Dosis abzugeben.</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Überlegungen Team</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Identifizierung der Patienten, beispielsweise mit QR-Code oder Face ID.</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Rollenverteilung auf Psychologen, Pflege und Hausärzte.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Schnittstelle für Laborwerte. Zum Beispiel mit </w:t>
      </w:r>
      <w:r w:rsidDel="00000000" w:rsidR="00000000" w:rsidRPr="00000000">
        <w:rPr>
          <w:rtl w:val="0"/>
        </w:rPr>
        <w:t xml:space="preserve">Mirth-Connect als freie Schnittstellensoftware, die Laborwerte im HL7-Format aus dem entsprechenden LIS einbindet. Proben werden physisch versendet, jedoch Resultate direkt elektronische in das System eingespiesen.</w:t>
      </w:r>
    </w:p>
    <w:p w:rsidR="00000000" w:rsidDel="00000000" w:rsidP="00000000" w:rsidRDefault="00000000" w:rsidRPr="00000000" w14:paraId="0000000E">
      <w:pPr>
        <w:numPr>
          <w:ilvl w:val="0"/>
          <w:numId w:val="3"/>
        </w:numPr>
        <w:spacing w:after="160" w:line="259" w:lineRule="auto"/>
        <w:ind w:left="720" w:hanging="360"/>
        <w:rPr/>
      </w:pPr>
      <w:r w:rsidDel="00000000" w:rsidR="00000000" w:rsidRPr="00000000">
        <w:rPr>
          <w:rtl w:val="0"/>
        </w:rPr>
        <w:t xml:space="preserve">Eine mögliche Verbesserung der Kommunikation zwischen Hausärzten und dem Zentrum. </w:t>
        <w:br w:type="textWrapping"/>
        <w:t xml:space="preserve">Ein Beispiel wäre ein Tool, welches Wechselwirkungen zwischen Drogen und Medikamenten prüft. Im Stammdatenverzeichnis sind die Patienten und deren Medikamentunverträglichkeiten + Allergien aufgeführt. Bei einer Medikamentenabgabe durch einen Arzt werden allfällige Wechselwirkungen geprüft und entsprechend Warnmeldungen angezeigt. </w:t>
        <w:br w:type="textWrapping"/>
        <w:t xml:space="preserve">Anderes Beispiel die History der Medikamente bzw. dessen Herausgabe. </w:t>
      </w:r>
    </w:p>
    <w:p w:rsidR="00000000" w:rsidDel="00000000" w:rsidP="00000000" w:rsidRDefault="00000000" w:rsidRPr="00000000" w14:paraId="0000000F">
      <w:pPr>
        <w:numPr>
          <w:ilvl w:val="0"/>
          <w:numId w:val="3"/>
        </w:numPr>
        <w:spacing w:after="160" w:line="259" w:lineRule="auto"/>
        <w:ind w:left="720" w:hanging="360"/>
        <w:rPr/>
      </w:pPr>
      <w:r w:rsidDel="00000000" w:rsidR="00000000" w:rsidRPr="00000000">
        <w:rPr>
          <w:rtl w:val="0"/>
        </w:rPr>
        <w:t xml:space="preserve">Ausschliesslich digital erstellte Rezepte welche entweder direkt der Apotheke übermittelt (u.U. immer der gleichen Filiale / Kette) versendet oder auf einen Chip (Versicherungskarte) des Patienten geladen werden.</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spacing w:after="0" w:before="40" w:line="259" w:lineRule="auto"/>
        <w:contextualSpacing w:val="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Weiteres</w:t>
      </w:r>
    </w:p>
    <w:p w:rsidR="00000000" w:rsidDel="00000000" w:rsidP="00000000" w:rsidRDefault="00000000" w:rsidRPr="00000000" w14:paraId="00000011">
      <w:pPr>
        <w:numPr>
          <w:ilvl w:val="0"/>
          <w:numId w:val="1"/>
        </w:numPr>
        <w:spacing w:line="259" w:lineRule="auto"/>
        <w:ind w:left="720" w:hanging="360"/>
        <w:rPr/>
      </w:pPr>
      <w:r w:rsidDel="00000000" w:rsidR="00000000" w:rsidRPr="00000000">
        <w:rPr>
          <w:rFonts w:ascii="Calibri" w:cs="Calibri" w:eastAsia="Calibri" w:hAnsi="Calibri"/>
          <w:rtl w:val="0"/>
        </w:rPr>
        <w:t xml:space="preserve">Vitalwerte</w:t>
      </w:r>
    </w:p>
    <w:p w:rsidR="00000000" w:rsidDel="00000000" w:rsidP="00000000" w:rsidRDefault="00000000" w:rsidRPr="00000000" w14:paraId="00000012">
      <w:pPr>
        <w:numPr>
          <w:ilvl w:val="0"/>
          <w:numId w:val="1"/>
        </w:numPr>
        <w:spacing w:line="259" w:lineRule="auto"/>
        <w:ind w:left="720" w:hanging="360"/>
        <w:rPr/>
      </w:pPr>
      <w:r w:rsidDel="00000000" w:rsidR="00000000" w:rsidRPr="00000000">
        <w:rPr>
          <w:rFonts w:ascii="Calibri" w:cs="Calibri" w:eastAsia="Calibri" w:hAnsi="Calibri"/>
          <w:rtl w:val="0"/>
        </w:rPr>
        <w:t xml:space="preserve">MPA Aufgaben</w:t>
      </w:r>
    </w:p>
    <w:p w:rsidR="00000000" w:rsidDel="00000000" w:rsidP="00000000" w:rsidRDefault="00000000" w:rsidRPr="00000000" w14:paraId="00000013">
      <w:pPr>
        <w:numPr>
          <w:ilvl w:val="0"/>
          <w:numId w:val="1"/>
        </w:numPr>
        <w:spacing w:after="160" w:line="259" w:lineRule="auto"/>
        <w:ind w:left="720" w:hanging="360"/>
        <w:rPr/>
      </w:pPr>
      <w:r w:rsidDel="00000000" w:rsidR="00000000" w:rsidRPr="00000000">
        <w:rPr>
          <w:rFonts w:ascii="Calibri" w:cs="Calibri" w:eastAsia="Calibri" w:hAnsi="Calibri"/>
          <w:rtl w:val="0"/>
        </w:rPr>
        <w:t xml:space="preserve">Abrechnung</w:t>
        <w:br w:type="textWrapping"/>
        <w:t xml:space="preserve">-&gt; Kreditoren / Debitoren</w:t>
        <w:br w:type="textWrapping"/>
        <w:t xml:space="preserve">-&gt; Tiers payant / Tiers garant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