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Übersicht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99810" cy="4572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Medikamentenvorbereitung / Kontrolle</w:t>
      </w:r>
      <w:r w:rsidDel="00000000" w:rsidR="00000000" w:rsidRPr="00000000">
        <w:rPr/>
        <w:drawing>
          <wp:inline distB="114300" distT="114300" distL="114300" distR="114300">
            <wp:extent cx="6099810" cy="45720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99810" cy="45720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Rapport</w:t>
      </w:r>
      <w:r w:rsidDel="00000000" w:rsidR="00000000" w:rsidRPr="00000000">
        <w:rPr/>
        <w:drawing>
          <wp:inline distB="114300" distT="114300" distL="114300" distR="114300">
            <wp:extent cx="6099810" cy="4572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Statistik</w:t>
      </w:r>
      <w:r w:rsidDel="00000000" w:rsidR="00000000" w:rsidRPr="00000000">
        <w:rPr/>
        <w:drawing>
          <wp:inline distB="114300" distT="114300" distL="114300" distR="114300">
            <wp:extent cx="6099810" cy="45720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152" w:top="1152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