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0"/>
        <w:jc w:val="center"/>
      </w:pPr>
      <w:r>
        <w:rPr>
          <w:rFonts w:ascii="Times New Roman" w:cs="Times New Roman" w:eastAsia="Times New Roman" w:hAnsi="Times New Roman"/>
          <w:b/>
          <w:bCs/>
          <w:color w:val="1F3864"/>
          <w:sz w:val="32"/>
          <w:szCs w:val="32"/>
        </w:rPr>
        <w:t xml:space="preserve">PHÂN TÍCH CHỈ SỐ ICOR VIỆT NAM</w:t>
      </w:r>
    </w:p>
    <w:p>
      <w:pPr>
        <w:spacing w:after="600" w:before="0"/>
        <w:jc w:val="center"/>
      </w:pPr>
      <w:r>
        <w:rPr>
          <w:rFonts w:ascii="Times New Roman" w:cs="Times New Roman" w:eastAsia="Times New Roman" w:hAnsi="Times New Roman"/>
          <w:i/>
          <w:iCs/>
          <w:sz w:val="24"/>
          <w:szCs w:val="24"/>
        </w:rPr>
        <w:t xml:space="preserve">Incremental Capital-Output Ratio — Hệ số sử dụng vốn đầu tư</w:t>
      </w:r>
    </w:p>
    <w:p>
      <w:pPr>
        <w:pStyle w:val="Heading1"/>
      </w:pPr>
      <w:r>
        <w:rPr>
          <w:rFonts w:ascii="Times New Roman" w:cs="Times New Roman" w:eastAsia="Times New Roman" w:hAnsi="Times New Roman"/>
          <w:b/>
          <w:bCs/>
          <w:color w:val="1F3864"/>
          <w:sz w:val="28"/>
          <w:szCs w:val="28"/>
        </w:rPr>
        <w:t xml:space="preserve">1. Chỉ số lựa chọn: ICOR (Incremental Capital-Output Ratio)</w:t>
      </w:r>
    </w:p>
    <w:p>
      <w:pPr>
        <w:spacing w:after="100" w:before="80" w:line="360"/>
        <w:jc w:val="both"/>
      </w:pPr>
      <w:r>
        <w:rPr>
          <w:rFonts w:ascii="Times New Roman" w:cs="Times New Roman" w:eastAsia="Times New Roman" w:hAnsi="Times New Roman"/>
          <w:sz w:val="24"/>
          <w:szCs w:val="24"/>
        </w:rPr>
        <w:t xml:space="preserve">ICOR (</w:t>
      </w:r>
      <w:r>
        <w:rPr>
          <w:rFonts w:ascii="Times New Roman" w:cs="Times New Roman" w:eastAsia="Times New Roman" w:hAnsi="Times New Roman"/>
          <w:i/>
          <w:iCs/>
          <w:sz w:val="24"/>
          <w:szCs w:val="24"/>
        </w:rPr>
        <w:t xml:space="preserve">Incremental Capital-Output Ratio</w:t>
      </w:r>
      <w:r>
        <w:rPr>
          <w:rFonts w:ascii="Times New Roman" w:cs="Times New Roman" w:eastAsia="Times New Roman" w:hAnsi="Times New Roman"/>
          <w:sz w:val="24"/>
          <w:szCs w:val="24"/>
        </w:rPr>
        <w:t xml:space="preserve">) hay còn gọi là </w:t>
      </w:r>
      <w:r>
        <w:rPr>
          <w:rFonts w:ascii="Times New Roman" w:cs="Times New Roman" w:eastAsia="Times New Roman" w:hAnsi="Times New Roman"/>
          <w:b/>
          <w:bCs/>
          <w:sz w:val="24"/>
          <w:szCs w:val="24"/>
        </w:rPr>
        <w:t xml:space="preserve">hệ số sử dụng vốn đầu tư</w:t>
      </w:r>
      <w:r>
        <w:rPr>
          <w:rFonts w:ascii="Times New Roman" w:cs="Times New Roman" w:eastAsia="Times New Roman" w:hAnsi="Times New Roman"/>
          <w:sz w:val="24"/>
          <w:szCs w:val="24"/>
        </w:rPr>
        <w:t xml:space="preserve">, là chỉ số phản ánh hiệu quả sử dụng vốn đầu tư trong nền kinh tế. Cụ thể, ICOR cho biết để tạo ra thêm </w:t>
      </w:r>
      <w:r>
        <w:rPr>
          <w:rFonts w:ascii="Times New Roman" w:cs="Times New Roman" w:eastAsia="Times New Roman" w:hAnsi="Times New Roman"/>
          <w:b/>
          <w:bCs/>
          <w:sz w:val="24"/>
          <w:szCs w:val="24"/>
        </w:rPr>
        <w:t xml:space="preserve">1 đồng GDP tăng thêm</w:t>
      </w:r>
      <w:r>
        <w:rPr>
          <w:rFonts w:ascii="Times New Roman" w:cs="Times New Roman" w:eastAsia="Times New Roman" w:hAnsi="Times New Roman"/>
          <w:sz w:val="24"/>
          <w:szCs w:val="24"/>
        </w:rPr>
        <w:t xml:space="preserve">, nền kinh tế cần phải đầu tư bao nhiêu đồng vốn. ICOR càng thấp phản ánh hiệu quả đầu tư càng cao.</w:t>
      </w:r>
    </w:p>
    <w:p>
      <w:pPr>
        <w:spacing w:after="100" w:before="80" w:line="360"/>
        <w:jc w:val="both"/>
      </w:pPr>
      <w:r>
        <w:rPr>
          <w:rFonts w:ascii="Times New Roman" w:cs="Times New Roman" w:eastAsia="Times New Roman" w:hAnsi="Times New Roman"/>
          <w:sz w:val="24"/>
          <w:szCs w:val="24"/>
        </w:rPr>
        <w:t xml:space="preserve">Đối với Việt Nam — một nền kinh tế đang phát triển với tỷ lệ đầu tư/GDP liên tục duy trì ở mức cao (trên 30%) — ICOR là thước đo quan trọng để đánh giá </w:t>
      </w:r>
      <w:r>
        <w:rPr>
          <w:rFonts w:ascii="Times New Roman" w:cs="Times New Roman" w:eastAsia="Times New Roman" w:hAnsi="Times New Roman"/>
          <w:b/>
          <w:bCs/>
          <w:sz w:val="24"/>
          <w:szCs w:val="24"/>
        </w:rPr>
        <w:t xml:space="preserve">chất lượng tăng trưởng kinh tế</w:t>
      </w:r>
      <w:r>
        <w:rPr>
          <w:rFonts w:ascii="Times New Roman" w:cs="Times New Roman" w:eastAsia="Times New Roman" w:hAnsi="Times New Roman"/>
          <w:sz w:val="24"/>
          <w:szCs w:val="24"/>
        </w:rPr>
        <w:t xml:space="preserve"> và hiệu quả phân bổ nguồn lực, đặc biệt trong bối cảnh đầu tư công chiếm tỷ trọng lớn trong tổng đầu tư toàn xã hội.</w:t>
      </w:r>
    </w:p>
    <w:p>
      <w:pPr>
        <w:spacing w:after="80" w:before="160"/>
        <w:jc w:val="center"/>
      </w:pPr>
      <w:r>
        <w:rPr>
          <w:rFonts w:ascii="Times New Roman" w:cs="Times New Roman" w:eastAsia="Times New Roman" w:hAnsi="Times New Roman"/>
          <w:b/>
          <w:bCs/>
          <w:color w:val="2E4D8A"/>
          <w:sz w:val="26"/>
          <w:szCs w:val="26"/>
        </w:rPr>
        <w:t xml:space="preserve">Công thức tính toán</w:t>
      </w:r>
    </w:p>
    <w:p>
      <w:pPr>
        <w:spacing w:after="120" w:before="120"/>
        <w:jc w:val="center"/>
      </w:pPr>
      <w:r>
        <w:rPr>
          <w:rFonts w:ascii="Courier New" w:cs="Courier New" w:eastAsia="Courier New" w:hAnsi="Courier New"/>
          <w:b/>
          <w:bCs/>
          <w:sz w:val="24"/>
          <w:szCs w:val="24"/>
        </w:rPr>
        <w:t xml:space="preserve">ICOR = Tổng vốn đầu tư (% GDP) / Tốc độ tăng trưởng GDP (%)</w:t>
      </w:r>
    </w:p>
    <w:p>
      <w:pPr>
        <w:spacing w:after="100" w:before="80" w:line="360"/>
        <w:jc w:val="both"/>
      </w:pPr>
      <w:r>
        <w:rPr>
          <w:rFonts w:ascii="Times New Roman" w:cs="Times New Roman" w:eastAsia="Times New Roman" w:hAnsi="Times New Roman"/>
          <w:sz w:val="24"/>
          <w:szCs w:val="24"/>
        </w:rPr>
        <w:t xml:space="preserve">Hoặc viết dưới dạng đầy đủ:</w:t>
      </w:r>
    </w:p>
    <w:p>
      <w:pPr>
        <w:spacing w:after="120" w:before="120"/>
        <w:jc w:val="center"/>
      </w:pPr>
      <w:r>
        <w:rPr>
          <w:rFonts w:ascii="Courier New" w:cs="Courier New" w:eastAsia="Courier New" w:hAnsi="Courier New"/>
          <w:b/>
          <w:bCs/>
          <w:sz w:val="24"/>
          <w:szCs w:val="24"/>
        </w:rPr>
        <w:t xml:space="preserve">ICOR = (Gross Capital Formation / GDP) / GDP Growth Rate</w:t>
      </w:r>
    </w:p>
    <w:p>
      <w:pPr>
        <w:spacing w:after="100" w:before="80" w:line="360"/>
        <w:jc w:val="both"/>
      </w:pPr>
      <w:r>
        <w:rPr>
          <w:rFonts w:ascii="Times New Roman" w:cs="Times New Roman" w:eastAsia="Times New Roman" w:hAnsi="Times New Roman"/>
          <w:sz w:val="24"/>
          <w:szCs w:val="24"/>
        </w:rPr>
        <w:t xml:space="preserve">Trong đó:</w:t>
      </w:r>
    </w:p>
    <w:p>
      <w:pPr>
        <w:pStyle w:val="ListParagraph"/>
        <w:numPr>
          <w:ilvl w:val="0"/>
          <w:numId w:val="2"/>
        </w:numPr>
        <w:spacing w:after="60" w:before="60" w:line="340"/>
      </w:pPr>
      <w:r>
        <w:rPr>
          <w:rFonts w:ascii="Times New Roman" w:cs="Times New Roman" w:eastAsia="Times New Roman" w:hAnsi="Times New Roman"/>
          <w:sz w:val="24"/>
          <w:szCs w:val="24"/>
        </w:rPr>
        <w:t xml:space="preserve">Gross Capital Formation (% of GDP): Tổng vốn đầu tư xã hội tính theo % GDP (bao gồm đầu tư công, đầu tư tư nhân và FDI).</w:t>
      </w:r>
    </w:p>
    <w:p>
      <w:pPr>
        <w:pStyle w:val="ListParagraph"/>
        <w:numPr>
          <w:ilvl w:val="0"/>
          <w:numId w:val="2"/>
        </w:numPr>
        <w:spacing w:after="60" w:before="60" w:line="340"/>
      </w:pPr>
      <w:r>
        <w:rPr>
          <w:rFonts w:ascii="Times New Roman" w:cs="Times New Roman" w:eastAsia="Times New Roman" w:hAnsi="Times New Roman"/>
          <w:sz w:val="24"/>
          <w:szCs w:val="24"/>
        </w:rPr>
        <w:t xml:space="preserve">GDP Growth Rate: Tốc độ tăng trưởng GDP thực tế hàng năm (%).</w:t>
      </w:r>
    </w:p>
    <w:p>
      <w:pPr>
        <w:pStyle w:val="ListParagraph"/>
        <w:numPr>
          <w:ilvl w:val="0"/>
          <w:numId w:val="2"/>
        </w:numPr>
        <w:spacing w:after="60" w:before="60" w:line="340"/>
      </w:pPr>
      <w:r>
        <w:rPr>
          <w:rFonts w:ascii="Times New Roman" w:cs="Times New Roman" w:eastAsia="Times New Roman" w:hAnsi="Times New Roman"/>
          <w:sz w:val="24"/>
          <w:szCs w:val="24"/>
        </w:rPr>
        <w:t xml:space="preserve">ICOR: Số đồng vốn cần đầu tư để tạo ra thêm 1 đồng GDP tăng thêm.</w:t>
      </w:r>
    </w:p>
    <w:p>
      <w:pPr>
        <w:spacing w:after="80" w:before="80"/>
      </w:pPr>
    </w:p>
    <w:p>
      <w:pPr>
        <w:spacing w:after="100" w:before="80" w:line="360"/>
        <w:jc w:val="both"/>
      </w:pPr>
      <w:r>
        <w:rPr>
          <w:rFonts w:ascii="Times New Roman" w:cs="Times New Roman" w:eastAsia="Times New Roman" w:hAnsi="Times New Roman"/>
          <w:sz w:val="24"/>
          <w:szCs w:val="24"/>
        </w:rPr>
        <w:t xml:space="preserve">Ví dụ minh họa: Nếu tỷ lệ đầu tư/GDP = I% và tốc độ tăng trưởng GDP = g%, thì ICOR = I/g. Giá trị ICOR càng thấp phản ánh hiệu quả sử dụng vốn càng cao. Nhóm sẽ tính toán ICOR thực tế của Việt Nam sau khi thu thập dữ liệu từ World Bank.</w:t>
      </w:r>
    </w:p>
    <w:p>
      <w:pPr>
        <w:pStyle w:val="Heading1"/>
      </w:pPr>
      <w:r>
        <w:rPr>
          <w:rFonts w:ascii="Times New Roman" w:cs="Times New Roman" w:eastAsia="Times New Roman" w:hAnsi="Times New Roman"/>
          <w:b/>
          <w:bCs/>
          <w:color w:val="1F3864"/>
          <w:sz w:val="28"/>
          <w:szCs w:val="28"/>
        </w:rPr>
        <w:t xml:space="preserve">2. Ảnh hưởng của các biến thành phần đến ICOR</w:t>
      </w:r>
    </w:p>
    <w:p>
      <w:pPr>
        <w:spacing w:after="100" w:before="80" w:line="360"/>
        <w:jc w:val="both"/>
      </w:pPr>
      <w:r>
        <w:rPr>
          <w:rFonts w:ascii="Times New Roman" w:cs="Times New Roman" w:eastAsia="Times New Roman" w:hAnsi="Times New Roman"/>
          <w:sz w:val="24"/>
          <w:szCs w:val="24"/>
        </w:rPr>
        <w:t xml:space="preserve">ICOR là chỉ số tổng hợp phụ thuộc vào sự thay đổi tương đối giữa </w:t>
      </w:r>
      <w:r>
        <w:rPr>
          <w:rFonts w:ascii="Times New Roman" w:cs="Times New Roman" w:eastAsia="Times New Roman" w:hAnsi="Times New Roman"/>
          <w:b/>
          <w:bCs/>
          <w:sz w:val="24"/>
          <w:szCs w:val="24"/>
        </w:rPr>
        <w:t xml:space="preserve">tổng vốn đầu tư</w:t>
      </w:r>
      <w:r>
        <w:rPr>
          <w:rFonts w:ascii="Times New Roman" w:cs="Times New Roman" w:eastAsia="Times New Roman" w:hAnsi="Times New Roman"/>
          <w:sz w:val="24"/>
          <w:szCs w:val="24"/>
        </w:rPr>
        <w:t xml:space="preserve"> và </w:t>
      </w:r>
      <w:r>
        <w:rPr>
          <w:rFonts w:ascii="Times New Roman" w:cs="Times New Roman" w:eastAsia="Times New Roman" w:hAnsi="Times New Roman"/>
          <w:b/>
          <w:bCs/>
          <w:sz w:val="24"/>
          <w:szCs w:val="24"/>
        </w:rPr>
        <w:t xml:space="preserve">tốc độ tăng trưởng GDP</w:t>
      </w:r>
      <w:r>
        <w:rPr>
          <w:rFonts w:ascii="Times New Roman" w:cs="Times New Roman" w:eastAsia="Times New Roman" w:hAnsi="Times New Roman"/>
          <w:sz w:val="24"/>
          <w:szCs w:val="24"/>
        </w:rPr>
        <w:t xml:space="preserve">. Bất kỳ nhân tố nào tác động đến một trong hai biến này đều ảnh hưởng trực tiếp đến ICOR.</w:t>
      </w:r>
    </w:p>
    <w:p>
      <w:pPr>
        <w:pStyle w:val="Heading2"/>
      </w:pPr>
      <w:r>
        <w:rPr>
          <w:rFonts w:ascii="Times New Roman" w:cs="Times New Roman" w:eastAsia="Times New Roman" w:hAnsi="Times New Roman"/>
          <w:b/>
          <w:bCs/>
          <w:color w:val="2E4D8A"/>
          <w:sz w:val="26"/>
          <w:szCs w:val="26"/>
        </w:rPr>
        <w:t xml:space="preserve">2.1. Biến Tổng vốn đầu tư (Gross Capital Formation — GCF)</w:t>
      </w:r>
    </w:p>
    <w:p>
      <w:pPr>
        <w:spacing w:after="100" w:before="80" w:line="360"/>
        <w:jc w:val="both"/>
      </w:pPr>
      <w:r>
        <w:rPr>
          <w:rFonts w:ascii="Times New Roman" w:cs="Times New Roman" w:eastAsia="Times New Roman" w:hAnsi="Times New Roman"/>
          <w:sz w:val="24"/>
          <w:szCs w:val="24"/>
        </w:rPr>
        <w:t xml:space="preserve">Tổng vốn đầu tư có quan hệ </w:t>
      </w:r>
      <w:r>
        <w:rPr>
          <w:rFonts w:ascii="Times New Roman" w:cs="Times New Roman" w:eastAsia="Times New Roman" w:hAnsi="Times New Roman"/>
          <w:b/>
          <w:bCs/>
          <w:sz w:val="24"/>
          <w:szCs w:val="24"/>
        </w:rPr>
        <w:t xml:space="preserve">cùng chiều</w:t>
      </w:r>
      <w:r>
        <w:rPr>
          <w:rFonts w:ascii="Times New Roman" w:cs="Times New Roman" w:eastAsia="Times New Roman" w:hAnsi="Times New Roman"/>
          <w:sz w:val="24"/>
          <w:szCs w:val="24"/>
        </w:rPr>
        <w:t xml:space="preserve"> với ICOR. Khi tỷ lệ đầu tư/GDP tăng trong khi tốc độ tăng trưởng GDP không tăng tương ứng, ICOR sẽ tăng lên, phản ánh hiệu quả đầu tư thấp hơn.</w:t>
      </w:r>
    </w:p>
    <w:p>
      <w:pPr>
        <w:spacing w:after="100" w:before="80" w:line="360"/>
        <w:jc w:val="both"/>
      </w:pPr>
      <w:r>
        <w:rPr>
          <w:rFonts w:ascii="Times New Roman" w:cs="Times New Roman" w:eastAsia="Times New Roman" w:hAnsi="Times New Roman"/>
          <w:sz w:val="24"/>
          <w:szCs w:val="24"/>
        </w:rPr>
        <w:t xml:space="preserve">Tại Việt Nam, tổng vốn đầu tư bao gồm ba thành phần chính:</w:t>
      </w:r>
    </w:p>
    <w:p>
      <w:pPr>
        <w:pStyle w:val="ListParagraph"/>
        <w:numPr>
          <w:ilvl w:val="0"/>
          <w:numId w:val="2"/>
        </w:numPr>
        <w:spacing w:after="60" w:before="60" w:line="340"/>
      </w:pPr>
      <w:r>
        <w:rPr>
          <w:rFonts w:ascii="Times New Roman" w:cs="Times New Roman" w:eastAsia="Times New Roman" w:hAnsi="Times New Roman"/>
          <w:sz w:val="24"/>
          <w:szCs w:val="24"/>
        </w:rPr>
        <w:t xml:space="preserve">Đầu tư công (ngân sách nhà nước, trái phiếu chính phủ, vốn ODA): thường chiếm tỷ trọng lớn nhưng hiệu quả thấp hơn đầu tư tư nhân do vấn đề thất thoát, lãng phí và thời gian triển khai kéo dài.</w:t>
      </w:r>
    </w:p>
    <w:p>
      <w:pPr>
        <w:pStyle w:val="ListParagraph"/>
        <w:numPr>
          <w:ilvl w:val="0"/>
          <w:numId w:val="2"/>
        </w:numPr>
        <w:spacing w:after="60" w:before="60" w:line="340"/>
      </w:pPr>
      <w:r>
        <w:rPr>
          <w:rFonts w:ascii="Times New Roman" w:cs="Times New Roman" w:eastAsia="Times New Roman" w:hAnsi="Times New Roman"/>
          <w:sz w:val="24"/>
          <w:szCs w:val="24"/>
        </w:rPr>
        <w:t xml:space="preserve">Đầu tư tư nhân trong nước: nhạy cảm hơn với điều kiện kinh doanh, lãi suất và niềm tin thị trường.</w:t>
      </w:r>
    </w:p>
    <w:p>
      <w:pPr>
        <w:pStyle w:val="ListParagraph"/>
        <w:numPr>
          <w:ilvl w:val="0"/>
          <w:numId w:val="2"/>
        </w:numPr>
        <w:spacing w:after="60" w:before="60" w:line="340"/>
      </w:pPr>
      <w:r>
        <w:rPr>
          <w:rFonts w:ascii="Times New Roman" w:cs="Times New Roman" w:eastAsia="Times New Roman" w:hAnsi="Times New Roman"/>
          <w:sz w:val="24"/>
          <w:szCs w:val="24"/>
        </w:rPr>
        <w:t xml:space="preserve">Đầu tư trực tiếp nước ngoài (FDI): thường có hiệu quả cao hơn do áp dụng công nghệ, quản trị tiên tiến, nhưng phụ thuộc vào môi trường đầu tư và xu hướng toàn cầu.</w:t>
      </w:r>
    </w:p>
    <w:p>
      <w:pPr>
        <w:spacing w:after="80" w:before="80"/>
      </w:pPr>
    </w:p>
    <w:p>
      <w:pPr>
        <w:spacing w:after="100" w:before="80" w:line="360"/>
        <w:jc w:val="both"/>
      </w:pPr>
      <w:r>
        <w:rPr>
          <w:rFonts w:ascii="Times New Roman" w:cs="Times New Roman" w:eastAsia="Times New Roman" w:hAnsi="Times New Roman"/>
          <w:sz w:val="24"/>
          <w:szCs w:val="24"/>
        </w:rPr>
        <w:t xml:space="preserve">Khi cơ cấu đầu tư thiên về đầu tư công kém hiệu quả, ICOR có xu hướng </w:t>
      </w:r>
      <w:r>
        <w:rPr>
          <w:rFonts w:ascii="Times New Roman" w:cs="Times New Roman" w:eastAsia="Times New Roman" w:hAnsi="Times New Roman"/>
          <w:b/>
          <w:bCs/>
          <w:sz w:val="24"/>
          <w:szCs w:val="24"/>
        </w:rPr>
        <w:t xml:space="preserve">tăng cao</w:t>
      </w:r>
      <w:r>
        <w:rPr>
          <w:rFonts w:ascii="Times New Roman" w:cs="Times New Roman" w:eastAsia="Times New Roman" w:hAnsi="Times New Roman"/>
          <w:sz w:val="24"/>
          <w:szCs w:val="24"/>
        </w:rPr>
        <w:t xml:space="preserve">, thể hiện lãng phí nguồn lực. Đây là một trong những vấn đề cần được kiểm chứng qua phân tích dữ liệu thực tế.</w:t>
      </w:r>
    </w:p>
    <w:p>
      <w:pPr>
        <w:pStyle w:val="Heading2"/>
      </w:pPr>
      <w:r>
        <w:rPr>
          <w:rFonts w:ascii="Times New Roman" w:cs="Times New Roman" w:eastAsia="Times New Roman" w:hAnsi="Times New Roman"/>
          <w:b/>
          <w:bCs/>
          <w:color w:val="2E4D8A"/>
          <w:sz w:val="26"/>
          <w:szCs w:val="26"/>
        </w:rPr>
        <w:t xml:space="preserve">2.2. Biến Tốc độ tăng trưởng GDP</w:t>
      </w:r>
    </w:p>
    <w:p>
      <w:pPr>
        <w:spacing w:after="100" w:before="80" w:line="360"/>
        <w:jc w:val="both"/>
      </w:pPr>
      <w:r>
        <w:rPr>
          <w:rFonts w:ascii="Times New Roman" w:cs="Times New Roman" w:eastAsia="Times New Roman" w:hAnsi="Times New Roman"/>
          <w:sz w:val="24"/>
          <w:szCs w:val="24"/>
        </w:rPr>
        <w:t xml:space="preserve">Tốc độ tăng trưởng GDP có quan hệ </w:t>
      </w:r>
      <w:r>
        <w:rPr>
          <w:rFonts w:ascii="Times New Roman" w:cs="Times New Roman" w:eastAsia="Times New Roman" w:hAnsi="Times New Roman"/>
          <w:b/>
          <w:bCs/>
          <w:sz w:val="24"/>
          <w:szCs w:val="24"/>
        </w:rPr>
        <w:t xml:space="preserve">ngược chiều</w:t>
      </w:r>
      <w:r>
        <w:rPr>
          <w:rFonts w:ascii="Times New Roman" w:cs="Times New Roman" w:eastAsia="Times New Roman" w:hAnsi="Times New Roman"/>
          <w:sz w:val="24"/>
          <w:szCs w:val="24"/>
        </w:rPr>
        <w:t xml:space="preserve"> với ICOR. Khi nền kinh tế tăng trưởng nhanh hơn mà không cần tăng thêm vốn đầu tư, ICOR giảm — phản ánh hiệu quả sử dụng vốn cải thiện.</w:t>
      </w:r>
    </w:p>
    <w:p>
      <w:pPr>
        <w:spacing w:after="100" w:before="80" w:line="360"/>
        <w:jc w:val="both"/>
      </w:pPr>
      <w:r>
        <w:rPr>
          <w:rFonts w:ascii="Times New Roman" w:cs="Times New Roman" w:eastAsia="Times New Roman" w:hAnsi="Times New Roman"/>
          <w:sz w:val="24"/>
          <w:szCs w:val="24"/>
        </w:rPr>
        <w:t xml:space="preserve">Các nhân tố ảnh hưởng đến tốc độ tăng trưởng GDP (và gián tiếp đến ICOR):</w:t>
      </w:r>
    </w:p>
    <w:p>
      <w:pPr>
        <w:pStyle w:val="ListParagraph"/>
        <w:numPr>
          <w:ilvl w:val="0"/>
          <w:numId w:val="2"/>
        </w:numPr>
        <w:spacing w:after="60" w:before="60" w:line="340"/>
      </w:pPr>
      <w:r>
        <w:rPr>
          <w:rFonts w:ascii="Times New Roman" w:cs="Times New Roman" w:eastAsia="Times New Roman" w:hAnsi="Times New Roman"/>
          <w:sz w:val="24"/>
          <w:szCs w:val="24"/>
        </w:rPr>
        <w:t xml:space="preserve">Năng suất lao động: nâng cao năng suất cho phép nền kinh tế tăng trưởng nhanh hơn với cùng lượng vốn đầu tư, làm giảm ICOR.</w:t>
      </w:r>
    </w:p>
    <w:p>
      <w:pPr>
        <w:pStyle w:val="ListParagraph"/>
        <w:numPr>
          <w:ilvl w:val="0"/>
          <w:numId w:val="2"/>
        </w:numPr>
        <w:spacing w:after="60" w:before="60" w:line="340"/>
      </w:pPr>
      <w:r>
        <w:rPr>
          <w:rFonts w:ascii="Times New Roman" w:cs="Times New Roman" w:eastAsia="Times New Roman" w:hAnsi="Times New Roman"/>
          <w:sz w:val="24"/>
          <w:szCs w:val="24"/>
        </w:rPr>
        <w:t xml:space="preserve">Chất lượng thể chế và môi trường kinh doanh: cải cách thể chế giúp vốn được phân bổ hiệu quả hơn, rút ngắn thời gian hoàn vốn.</w:t>
      </w:r>
    </w:p>
    <w:p>
      <w:pPr>
        <w:pStyle w:val="ListParagraph"/>
        <w:numPr>
          <w:ilvl w:val="0"/>
          <w:numId w:val="2"/>
        </w:numPr>
        <w:spacing w:after="60" w:before="60" w:line="340"/>
      </w:pPr>
      <w:r>
        <w:rPr>
          <w:rFonts w:ascii="Times New Roman" w:cs="Times New Roman" w:eastAsia="Times New Roman" w:hAnsi="Times New Roman"/>
          <w:sz w:val="24"/>
          <w:szCs w:val="24"/>
        </w:rPr>
        <w:t xml:space="preserve">Công nghệ và đổi mới sáng tạo (R&amp;D): nâng cao giá trị gia tăng trên mỗi đồng vốn đầu tư.</w:t>
      </w:r>
    </w:p>
    <w:p>
      <w:pPr>
        <w:pStyle w:val="ListParagraph"/>
        <w:numPr>
          <w:ilvl w:val="0"/>
          <w:numId w:val="2"/>
        </w:numPr>
        <w:spacing w:after="60" w:before="60" w:line="340"/>
      </w:pPr>
      <w:r>
        <w:rPr>
          <w:rFonts w:ascii="Times New Roman" w:cs="Times New Roman" w:eastAsia="Times New Roman" w:hAnsi="Times New Roman"/>
          <w:sz w:val="24"/>
          <w:szCs w:val="24"/>
        </w:rPr>
        <w:t xml:space="preserve">Cú sốc bên ngoài: khủng hoảng tài chính 2008–2009, đại dịch COVID-19 năm 2020 làm GDP tăng trưởng âm hoặc rất thấp, khiến ICOR tạm thời tăng đột biến hoặc không có ý nghĩa kinh tế.</w:t>
      </w:r>
    </w:p>
    <w:p>
      <w:pPr>
        <w:pStyle w:val="Heading2"/>
      </w:pPr>
      <w:r>
        <w:rPr>
          <w:rFonts w:ascii="Times New Roman" w:cs="Times New Roman" w:eastAsia="Times New Roman" w:hAnsi="Times New Roman"/>
          <w:b/>
          <w:bCs/>
          <w:color w:val="2E4D8A"/>
          <w:sz w:val="26"/>
          <w:szCs w:val="26"/>
        </w:rPr>
        <w:t xml:space="preserve">2.3. Các nhân tố bổ trợ ảnh hưởng gián tiếp đến ICOR</w:t>
      </w: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900"/>
        <w:gridCol w:w="1760"/>
      </w:tblGrid>
      <w:tr>
        <w:trPr>
          <w:tblHeader/>
        </w:trPr>
        <w:tc>
          <w:tcPr>
            <w:tcW w:type="dxa" w:w="2200"/>
            <w:tcBorders>
              <w:top w:val="single" w:color="CCCCCC" w:sz="1"/>
              <w:left w:val="single" w:color="CCCCCC" w:sz="1"/>
              <w:bottom w:val="single" w:color="CCCCCC" w:sz="1"/>
              <w:right w:val="single" w:color="CCCCCC" w:sz="1"/>
            </w:tcBorders>
            <w:shd w:fill="2E4D8A"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Nhân tố</w:t>
            </w:r>
          </w:p>
        </w:tc>
        <w:tc>
          <w:tcPr>
            <w:tcW w:type="dxa" w:w="2200"/>
            <w:tcBorders>
              <w:top w:val="single" w:color="CCCCCC" w:sz="1"/>
              <w:left w:val="single" w:color="CCCCCC" w:sz="1"/>
              <w:bottom w:val="single" w:color="CCCCCC" w:sz="1"/>
              <w:right w:val="single" w:color="CCCCCC" w:sz="1"/>
            </w:tcBorders>
            <w:shd w:fill="2E4D8A"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Chiều tác động lên ICOR</w:t>
            </w:r>
          </w:p>
        </w:tc>
        <w:tc>
          <w:tcPr>
            <w:tcW w:type="dxa" w:w="2900"/>
            <w:tcBorders>
              <w:top w:val="single" w:color="CCCCCC" w:sz="1"/>
              <w:left w:val="single" w:color="CCCCCC" w:sz="1"/>
              <w:bottom w:val="single" w:color="CCCCCC" w:sz="1"/>
              <w:right w:val="single" w:color="CCCCCC" w:sz="1"/>
            </w:tcBorders>
            <w:shd w:fill="2E4D8A"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Cơ chế ảnh hưởng</w:t>
            </w:r>
          </w:p>
        </w:tc>
        <w:tc>
          <w:tcPr>
            <w:tcW w:type="dxa" w:w="1760"/>
            <w:tcBorders>
              <w:top w:val="single" w:color="CCCCCC" w:sz="1"/>
              <w:left w:val="single" w:color="CCCCCC" w:sz="1"/>
              <w:bottom w:val="single" w:color="CCCCCC" w:sz="1"/>
              <w:right w:val="single" w:color="CCCCCC" w:sz="1"/>
            </w:tcBorders>
            <w:shd w:fill="2E4D8A"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Nguồn dữ liệu</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Times New Roman" w:cs="Times New Roman" w:eastAsia="Times New Roman" w:hAnsi="Times New Roman"/>
                <w:sz w:val="22"/>
                <w:szCs w:val="22"/>
              </w:rPr>
              <w:t xml:space="preserve">Cung tiền M2</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center"/>
            </w:pPr>
            <w:r>
              <w:rPr>
                <w:rFonts w:ascii="Times New Roman" w:cs="Times New Roman" w:eastAsia="Times New Roman" w:hAnsi="Times New Roman"/>
                <w:sz w:val="22"/>
                <w:szCs w:val="22"/>
              </w:rPr>
              <w:t xml:space="preserve">↑ M2 → có thể ↑ ICOR</w:t>
            </w:r>
          </w:p>
        </w:tc>
        <w:tc>
          <w:tcPr>
            <w:tcW w:type="dxa" w:w="29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center"/>
            </w:pPr>
            <w:r>
              <w:rPr>
                <w:rFonts w:ascii="Times New Roman" w:cs="Times New Roman" w:eastAsia="Times New Roman" w:hAnsi="Times New Roman"/>
                <w:sz w:val="22"/>
                <w:szCs w:val="22"/>
              </w:rPr>
              <w:t xml:space="preserve">Tín dụng dễ dãi → đầu tư kém hiệu quả tăng</w:t>
            </w:r>
          </w:p>
        </w:tc>
        <w:tc>
          <w:tcPr>
            <w:tcW w:type="dxa" w:w="1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center"/>
            </w:pPr>
            <w:r>
              <w:rPr>
                <w:rFonts w:ascii="Times New Roman" w:cs="Times New Roman" w:eastAsia="Times New Roman" w:hAnsi="Times New Roman"/>
                <w:sz w:val="22"/>
                <w:szCs w:val="22"/>
              </w:rPr>
              <w:t xml:space="preserve">FRED, IMF</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sz w:val="22"/>
                <w:szCs w:val="22"/>
              </w:rPr>
              <w:t xml:space="preserve">Lãi suất cho vay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2"/>
                <w:szCs w:val="22"/>
              </w:rPr>
              <w:t xml:space="preserve">↑ Lãi suất → ↓ ICOR</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2"/>
                <w:szCs w:val="22"/>
              </w:rPr>
              <w:t xml:space="preserve">Chi phí vốn cao → sàng lọc dự án hiệu quả hơn</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2"/>
                <w:szCs w:val="22"/>
              </w:rPr>
              <w:t xml:space="preserve">World Bank</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Times New Roman" w:cs="Times New Roman" w:eastAsia="Times New Roman" w:hAnsi="Times New Roman"/>
                <w:sz w:val="22"/>
                <w:szCs w:val="22"/>
              </w:rPr>
              <w:t xml:space="preserve">FDI (% GDP)</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center"/>
            </w:pPr>
            <w:r>
              <w:rPr>
                <w:rFonts w:ascii="Times New Roman" w:cs="Times New Roman" w:eastAsia="Times New Roman" w:hAnsi="Times New Roman"/>
                <w:sz w:val="22"/>
                <w:szCs w:val="22"/>
              </w:rPr>
              <w:t xml:space="preserve">↑ FDI → ↓ ICOR</w:t>
            </w:r>
          </w:p>
        </w:tc>
        <w:tc>
          <w:tcPr>
            <w:tcW w:type="dxa" w:w="29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center"/>
            </w:pPr>
            <w:r>
              <w:rPr>
                <w:rFonts w:ascii="Times New Roman" w:cs="Times New Roman" w:eastAsia="Times New Roman" w:hAnsi="Times New Roman"/>
                <w:sz w:val="22"/>
                <w:szCs w:val="22"/>
              </w:rPr>
              <w:t xml:space="preserve">FDI mang công nghệ, quản trị tốt hơn</w:t>
            </w:r>
          </w:p>
        </w:tc>
        <w:tc>
          <w:tcPr>
            <w:tcW w:type="dxa" w:w="1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center"/>
            </w:pPr>
            <w:r>
              <w:rPr>
                <w:rFonts w:ascii="Times New Roman" w:cs="Times New Roman" w:eastAsia="Times New Roman" w:hAnsi="Times New Roman"/>
                <w:sz w:val="22"/>
                <w:szCs w:val="22"/>
              </w:rPr>
              <w:t xml:space="preserve">World Bank</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sz w:val="22"/>
                <w:szCs w:val="22"/>
              </w:rPr>
              <w:t xml:space="preserve">Đầu tư công (% tổng đầu tư)</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2"/>
                <w:szCs w:val="22"/>
              </w:rPr>
              <w:t xml:space="preserve">↑ Đầu tư công → ↑ ICOR</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2"/>
                <w:szCs w:val="22"/>
              </w:rPr>
              <w:t xml:space="preserve">Đầu tư công thường kém hiệu quả hơn tư nhân</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2"/>
                <w:szCs w:val="22"/>
              </w:rPr>
              <w:t xml:space="preserve">TCTK</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Times New Roman" w:cs="Times New Roman" w:eastAsia="Times New Roman" w:hAnsi="Times New Roman"/>
                <w:sz w:val="22"/>
                <w:szCs w:val="22"/>
              </w:rPr>
              <w:t xml:space="preserve">Độ mở thương mại</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center"/>
            </w:pPr>
            <w:r>
              <w:rPr>
                <w:rFonts w:ascii="Times New Roman" w:cs="Times New Roman" w:eastAsia="Times New Roman" w:hAnsi="Times New Roman"/>
                <w:sz w:val="22"/>
                <w:szCs w:val="22"/>
              </w:rPr>
              <w:t xml:space="preserve">↑ Độ mở → xu hướng ↓ ICOR</w:t>
            </w:r>
          </w:p>
        </w:tc>
        <w:tc>
          <w:tcPr>
            <w:tcW w:type="dxa" w:w="29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center"/>
            </w:pPr>
            <w:r>
              <w:rPr>
                <w:rFonts w:ascii="Times New Roman" w:cs="Times New Roman" w:eastAsia="Times New Roman" w:hAnsi="Times New Roman"/>
                <w:sz w:val="22"/>
                <w:szCs w:val="22"/>
              </w:rPr>
              <w:t xml:space="preserve">Hội nhập thúc đẩy cạnh tranh và hiệu quả</w:t>
            </w:r>
          </w:p>
        </w:tc>
        <w:tc>
          <w:tcPr>
            <w:tcW w:type="dxa" w:w="1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center"/>
            </w:pPr>
            <w:r>
              <w:rPr>
                <w:rFonts w:ascii="Times New Roman" w:cs="Times New Roman" w:eastAsia="Times New Roman" w:hAnsi="Times New Roman"/>
                <w:sz w:val="22"/>
                <w:szCs w:val="22"/>
              </w:rPr>
              <w:t xml:space="preserve">World Bank</w:t>
            </w:r>
          </w:p>
        </w:tc>
      </w:tr>
    </w:tbl>
    <w:p>
      <w:pPr>
        <w:spacing w:after="80" w:before="160"/>
      </w:pPr>
    </w:p>
    <w:p>
      <w:pPr>
        <w:pStyle w:val="Heading1"/>
      </w:pPr>
      <w:r>
        <w:rPr>
          <w:rFonts w:ascii="Times New Roman" w:cs="Times New Roman" w:eastAsia="Times New Roman" w:hAnsi="Times New Roman"/>
          <w:b/>
          <w:bCs/>
          <w:color w:val="1F3864"/>
          <w:sz w:val="28"/>
          <w:szCs w:val="28"/>
        </w:rPr>
        <w:t xml:space="preserve">3. Mối tương quan và ảnh hưởng giữa các biến</w:t>
      </w:r>
    </w:p>
    <w:p>
      <w:pPr>
        <w:pStyle w:val="Heading2"/>
      </w:pPr>
      <w:r>
        <w:rPr>
          <w:rFonts w:ascii="Times New Roman" w:cs="Times New Roman" w:eastAsia="Times New Roman" w:hAnsi="Times New Roman"/>
          <w:b/>
          <w:bCs/>
          <w:color w:val="2E4D8A"/>
          <w:sz w:val="26"/>
          <w:szCs w:val="26"/>
        </w:rPr>
        <w:t xml:space="preserve">3.1. Tương quan giữa Đầu tư công và ICOR</w:t>
      </w:r>
    </w:p>
    <w:p>
      <w:pPr>
        <w:spacing w:after="100" w:before="80" w:line="360"/>
        <w:jc w:val="both"/>
      </w:pPr>
      <w:r>
        <w:rPr>
          <w:rFonts w:ascii="Times New Roman" w:cs="Times New Roman" w:eastAsia="Times New Roman" w:hAnsi="Times New Roman"/>
          <w:sz w:val="24"/>
          <w:szCs w:val="24"/>
        </w:rPr>
        <w:t xml:space="preserve">Trong một số giai đoạn, Việt Nam duy trì tỷ lệ đầu tư/GDP cao nhưng tốc độ tăng trưởng GDP không tăng tương xứng, cho thấy phần lớn vốn đầu tư — đặc biệt đầu tư công — </w:t>
      </w:r>
      <w:r>
        <w:rPr>
          <w:rFonts w:ascii="Times New Roman" w:cs="Times New Roman" w:eastAsia="Times New Roman" w:hAnsi="Times New Roman"/>
          <w:b/>
          <w:bCs/>
          <w:sz w:val="24"/>
          <w:szCs w:val="24"/>
        </w:rPr>
        <w:t xml:space="preserve">không tạo ra tăng trưởng tương xứng</w:t>
      </w:r>
      <w:r>
        <w:rPr>
          <w:rFonts w:ascii="Times New Roman" w:cs="Times New Roman" w:eastAsia="Times New Roman" w:hAnsi="Times New Roman"/>
          <w:sz w:val="24"/>
          <w:szCs w:val="24"/>
        </w:rPr>
        <w:t xml:space="preserve">.</w:t>
      </w:r>
    </w:p>
    <w:p>
      <w:pPr>
        <w:spacing w:after="100" w:before="80" w:line="360"/>
        <w:jc w:val="both"/>
      </w:pPr>
      <w:r>
        <w:rPr>
          <w:rFonts w:ascii="Times New Roman" w:cs="Times New Roman" w:eastAsia="Times New Roman" w:hAnsi="Times New Roman"/>
          <w:sz w:val="24"/>
          <w:szCs w:val="24"/>
        </w:rPr>
        <w:t xml:space="preserve">Nguyên nhân chính bao gồm:</w:t>
      </w:r>
    </w:p>
    <w:p>
      <w:pPr>
        <w:pStyle w:val="ListParagraph"/>
        <w:numPr>
          <w:ilvl w:val="0"/>
          <w:numId w:val="2"/>
        </w:numPr>
        <w:spacing w:after="60" w:before="60" w:line="340"/>
      </w:pPr>
      <w:r>
        <w:rPr>
          <w:rFonts w:ascii="Times New Roman" w:cs="Times New Roman" w:eastAsia="Times New Roman" w:hAnsi="Times New Roman"/>
          <w:sz w:val="24"/>
          <w:szCs w:val="24"/>
        </w:rPr>
        <w:t xml:space="preserve">Nhiều dự án đầu tư công bị đội vốn, chậm tiến độ, kém hiệu quả.</w:t>
      </w:r>
    </w:p>
    <w:p>
      <w:pPr>
        <w:pStyle w:val="ListParagraph"/>
        <w:numPr>
          <w:ilvl w:val="0"/>
          <w:numId w:val="2"/>
        </w:numPr>
        <w:spacing w:after="60" w:before="60" w:line="340"/>
      </w:pPr>
      <w:r>
        <w:rPr>
          <w:rFonts w:ascii="Times New Roman" w:cs="Times New Roman" w:eastAsia="Times New Roman" w:hAnsi="Times New Roman"/>
          <w:sz w:val="24"/>
          <w:szCs w:val="24"/>
        </w:rPr>
        <w:t xml:space="preserve">Các tập đoàn nhà nước (VINASHIN, VINALINES) đầu tư dàn trải, thua lỗ lớn.</w:t>
      </w:r>
    </w:p>
    <w:p>
      <w:pPr>
        <w:pStyle w:val="ListParagraph"/>
        <w:numPr>
          <w:ilvl w:val="0"/>
          <w:numId w:val="2"/>
        </w:numPr>
        <w:spacing w:after="60" w:before="60" w:line="340"/>
      </w:pPr>
      <w:r>
        <w:rPr>
          <w:rFonts w:ascii="Times New Roman" w:cs="Times New Roman" w:eastAsia="Times New Roman" w:hAnsi="Times New Roman"/>
          <w:sz w:val="24"/>
          <w:szCs w:val="24"/>
        </w:rPr>
        <w:t xml:space="preserve">Cơ chế phân bổ vốn chưa dựa trên hiệu quả kinh tế mà dựa trên kế hoạch hành chính.</w:t>
      </w:r>
    </w:p>
    <w:p>
      <w:pPr>
        <w:spacing w:after="80" w:before="80"/>
      </w:pPr>
    </w:p>
    <w:p>
      <w:pPr>
        <w:spacing w:after="100" w:before="80" w:line="360"/>
        <w:jc w:val="both"/>
      </w:pPr>
      <w:r>
        <w:rPr>
          <w:rFonts w:ascii="Times New Roman" w:cs="Times New Roman" w:eastAsia="Times New Roman" w:hAnsi="Times New Roman"/>
          <w:sz w:val="24"/>
          <w:szCs w:val="24"/>
        </w:rPr>
        <w:t xml:space="preserve">Sau các giai đoạn cải cách đầu tư công, ICOR được kỳ vọng có xu hướng giảm dần, phản ánh </w:t>
      </w:r>
      <w:r>
        <w:rPr>
          <w:rFonts w:ascii="Times New Roman" w:cs="Times New Roman" w:eastAsia="Times New Roman" w:hAnsi="Times New Roman"/>
          <w:b/>
          <w:bCs/>
          <w:sz w:val="24"/>
          <w:szCs w:val="24"/>
        </w:rPr>
        <w:t xml:space="preserve">hiệu quả phân bổ vốn được cải thiện</w:t>
      </w:r>
      <w:r>
        <w:rPr>
          <w:rFonts w:ascii="Times New Roman" w:cs="Times New Roman" w:eastAsia="Times New Roman" w:hAnsi="Times New Roman"/>
          <w:sz w:val="24"/>
          <w:szCs w:val="24"/>
        </w:rPr>
        <w:t xml:space="preserve"> nhờ siết chặt kỷ luật tài chính và tăng tỷ trọng đầu tư tư nhân.</w:t>
      </w:r>
    </w:p>
    <w:p>
      <w:pPr>
        <w:pStyle w:val="Heading2"/>
      </w:pPr>
      <w:r>
        <w:rPr>
          <w:rFonts w:ascii="Times New Roman" w:cs="Times New Roman" w:eastAsia="Times New Roman" w:hAnsi="Times New Roman"/>
          <w:b/>
          <w:bCs/>
          <w:color w:val="2E4D8A"/>
          <w:sz w:val="26"/>
          <w:szCs w:val="26"/>
        </w:rPr>
        <w:t xml:space="preserve">3.2. Tương quan giữa FDI và ICOR</w:t>
      </w:r>
    </w:p>
    <w:p>
      <w:pPr>
        <w:spacing w:after="100" w:before="80" w:line="360"/>
        <w:jc w:val="both"/>
      </w:pPr>
      <w:r>
        <w:rPr>
          <w:rFonts w:ascii="Times New Roman" w:cs="Times New Roman" w:eastAsia="Times New Roman" w:hAnsi="Times New Roman"/>
          <w:sz w:val="24"/>
          <w:szCs w:val="24"/>
        </w:rPr>
        <w:t xml:space="preserve">FDI có mối tương quan </w:t>
      </w:r>
      <w:r>
        <w:rPr>
          <w:rFonts w:ascii="Times New Roman" w:cs="Times New Roman" w:eastAsia="Times New Roman" w:hAnsi="Times New Roman"/>
          <w:b/>
          <w:bCs/>
          <w:sz w:val="24"/>
          <w:szCs w:val="24"/>
        </w:rPr>
        <w:t xml:space="preserve">ngược chiều</w:t>
      </w:r>
      <w:r>
        <w:rPr>
          <w:rFonts w:ascii="Times New Roman" w:cs="Times New Roman" w:eastAsia="Times New Roman" w:hAnsi="Times New Roman"/>
          <w:sz w:val="24"/>
          <w:szCs w:val="24"/>
        </w:rPr>
        <w:t xml:space="preserve"> với ICOR. Về mặt lý thuyết, các giai đoạn bùng nổ FDI được kỳ vọng gắn với xu hướng ICOR giảm, vì:</w:t>
      </w:r>
    </w:p>
    <w:p>
      <w:pPr>
        <w:pStyle w:val="ListParagraph"/>
        <w:numPr>
          <w:ilvl w:val="0"/>
          <w:numId w:val="2"/>
        </w:numPr>
        <w:spacing w:after="60" w:before="60" w:line="340"/>
      </w:pPr>
      <w:r>
        <w:rPr>
          <w:rFonts w:ascii="Times New Roman" w:cs="Times New Roman" w:eastAsia="Times New Roman" w:hAnsi="Times New Roman"/>
          <w:sz w:val="24"/>
          <w:szCs w:val="24"/>
        </w:rPr>
        <w:t xml:space="preserve">FDI mang theo công nghệ sản xuất hiện đại, nâng cao năng suất trên mỗi đồng vốn.</w:t>
      </w:r>
    </w:p>
    <w:p>
      <w:pPr>
        <w:pStyle w:val="ListParagraph"/>
        <w:numPr>
          <w:ilvl w:val="0"/>
          <w:numId w:val="2"/>
        </w:numPr>
        <w:spacing w:after="60" w:before="60" w:line="340"/>
      </w:pPr>
      <w:r>
        <w:rPr>
          <w:rFonts w:ascii="Times New Roman" w:cs="Times New Roman" w:eastAsia="Times New Roman" w:hAnsi="Times New Roman"/>
          <w:sz w:val="24"/>
          <w:szCs w:val="24"/>
        </w:rPr>
        <w:t xml:space="preserve">Doanh nghiệp FDI thường có hiệu quả sử dụng vốn cao hơn doanh nghiệp nhà nước.</w:t>
      </w:r>
    </w:p>
    <w:p>
      <w:pPr>
        <w:pStyle w:val="ListParagraph"/>
        <w:numPr>
          <w:ilvl w:val="0"/>
          <w:numId w:val="2"/>
        </w:numPr>
        <w:spacing w:after="60" w:before="60" w:line="340"/>
      </w:pPr>
      <w:r>
        <w:rPr>
          <w:rFonts w:ascii="Times New Roman" w:cs="Times New Roman" w:eastAsia="Times New Roman" w:hAnsi="Times New Roman"/>
          <w:sz w:val="24"/>
          <w:szCs w:val="24"/>
        </w:rPr>
        <w:t xml:space="preserve">Sự hiện diện của FDI tạo hiệu ứng lan tỏa công nghệ và kỹ năng quản lý cho khu vực tư nhân trong nước.</w:t>
      </w:r>
    </w:p>
    <w:p>
      <w:pPr>
        <w:pStyle w:val="Heading2"/>
      </w:pPr>
      <w:r>
        <w:rPr>
          <w:rFonts w:ascii="Times New Roman" w:cs="Times New Roman" w:eastAsia="Times New Roman" w:hAnsi="Times New Roman"/>
          <w:b/>
          <w:bCs/>
          <w:color w:val="2E4D8A"/>
          <w:sz w:val="26"/>
          <w:szCs w:val="26"/>
        </w:rPr>
        <w:t xml:space="preserve">3.3. So sánh ICOR Việt Nam với các quốc gia trong khu vực</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000"/>
        <w:gridCol w:w="3060"/>
      </w:tblGrid>
      <w:tr>
        <w:trPr>
          <w:tblHeader/>
        </w:trPr>
        <w:tc>
          <w:tcPr>
            <w:tcW w:type="dxa" w:w="1800"/>
            <w:tcBorders>
              <w:top w:val="single" w:color="CCCCCC" w:sz="1"/>
              <w:left w:val="single" w:color="CCCCCC" w:sz="1"/>
              <w:bottom w:val="single" w:color="CCCCCC" w:sz="1"/>
              <w:right w:val="single" w:color="CCCCCC" w:sz="1"/>
            </w:tcBorders>
            <w:shd w:fill="2E4D8A"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Quốc gia</w:t>
            </w:r>
          </w:p>
        </w:tc>
        <w:tc>
          <w:tcPr>
            <w:tcW w:type="dxa" w:w="2400"/>
            <w:tcBorders>
              <w:top w:val="single" w:color="CCCCCC" w:sz="1"/>
              <w:left w:val="single" w:color="CCCCCC" w:sz="1"/>
              <w:bottom w:val="single" w:color="CCCCCC" w:sz="1"/>
              <w:right w:val="single" w:color="CCCCCC" w:sz="1"/>
            </w:tcBorders>
            <w:shd w:fill="2E4D8A"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Giai đoạn phát triển tương đương</w:t>
            </w:r>
          </w:p>
        </w:tc>
        <w:tc>
          <w:tcPr>
            <w:tcW w:type="dxa" w:w="2000"/>
            <w:tcBorders>
              <w:top w:val="single" w:color="CCCCCC" w:sz="1"/>
              <w:left w:val="single" w:color="CCCCCC" w:sz="1"/>
              <w:bottom w:val="single" w:color="CCCCCC" w:sz="1"/>
              <w:right w:val="single" w:color="CCCCCC" w:sz="1"/>
            </w:tcBorders>
            <w:shd w:fill="2E4D8A"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ICOR trung bình</w:t>
            </w:r>
          </w:p>
        </w:tc>
        <w:tc>
          <w:tcPr>
            <w:tcW w:type="dxa" w:w="3060"/>
            <w:tcBorders>
              <w:top w:val="single" w:color="CCCCCC" w:sz="1"/>
              <w:left w:val="single" w:color="CCCCCC" w:sz="1"/>
              <w:bottom w:val="single" w:color="CCCCCC" w:sz="1"/>
              <w:right w:val="single" w:color="CCCCCC" w:sz="1"/>
            </w:tcBorders>
            <w:shd w:fill="2E4D8A"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Nhận xét</w:t>
            </w:r>
          </w:p>
        </w:tc>
      </w:tr>
      <w:tr>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Times New Roman" w:cs="Times New Roman" w:eastAsia="Times New Roman" w:hAnsi="Times New Roman"/>
                <w:sz w:val="22"/>
                <w:szCs w:val="22"/>
              </w:rPr>
              <w:t xml:space="preserve">Việt Nam</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center"/>
            </w:pPr>
            <w:r>
              <w:rPr>
                <w:rFonts w:ascii="Times New Roman" w:cs="Times New Roman" w:eastAsia="Times New Roman" w:hAnsi="Times New Roman"/>
                <w:sz w:val="22"/>
                <w:szCs w:val="22"/>
              </w:rPr>
              <w:t xml:space="preserve">2010–2023</w:t>
            </w:r>
          </w:p>
        </w:tc>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center"/>
            </w:pPr>
            <w:r>
              <w:rPr>
                <w:rFonts w:ascii="Times New Roman" w:cs="Times New Roman" w:eastAsia="Times New Roman" w:hAnsi="Times New Roman"/>
                <w:sz w:val="22"/>
                <w:szCs w:val="22"/>
              </w:rPr>
              <w:t xml:space="preserve">Cần tính từ data</w:t>
            </w:r>
          </w:p>
        </w:tc>
        <w:tc>
          <w:tcPr>
            <w:tcW w:type="dxa" w:w="30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center"/>
            </w:pPr>
            <w:r>
              <w:rPr>
                <w:rFonts w:ascii="Times New Roman" w:cs="Times New Roman" w:eastAsia="Times New Roman" w:hAnsi="Times New Roman"/>
                <w:sz w:val="22"/>
                <w:szCs w:val="22"/>
              </w:rPr>
              <w:t xml:space="preserve">Sẽ phân tích</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sz w:val="22"/>
                <w:szCs w:val="22"/>
              </w:rPr>
              <w:t xml:space="preserve">Hàn Quốc</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2"/>
                <w:szCs w:val="22"/>
              </w:rPr>
              <w:t xml:space="preserve">1970–1990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2"/>
                <w:szCs w:val="22"/>
              </w:rPr>
              <w:t xml:space="preserve">Tham khảo tài liệu</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2"/>
                <w:szCs w:val="22"/>
              </w:rPr>
              <w:t xml:space="preserve">Dùng để so sánh</w:t>
            </w:r>
          </w:p>
        </w:tc>
      </w:tr>
      <w:tr>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Times New Roman" w:cs="Times New Roman" w:eastAsia="Times New Roman" w:hAnsi="Times New Roman"/>
                <w:sz w:val="22"/>
                <w:szCs w:val="22"/>
              </w:rPr>
              <w:t xml:space="preserve">Trung Quốc</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center"/>
            </w:pPr>
            <w:r>
              <w:rPr>
                <w:rFonts w:ascii="Times New Roman" w:cs="Times New Roman" w:eastAsia="Times New Roman" w:hAnsi="Times New Roman"/>
                <w:sz w:val="22"/>
                <w:szCs w:val="22"/>
              </w:rPr>
              <w:t xml:space="preserve">2000–2015</w:t>
            </w:r>
          </w:p>
        </w:tc>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center"/>
            </w:pPr>
            <w:r>
              <w:rPr>
                <w:rFonts w:ascii="Times New Roman" w:cs="Times New Roman" w:eastAsia="Times New Roman" w:hAnsi="Times New Roman"/>
                <w:sz w:val="22"/>
                <w:szCs w:val="22"/>
              </w:rPr>
              <w:t xml:space="preserve">Tham khảo tài liệu</w:t>
            </w:r>
          </w:p>
        </w:tc>
        <w:tc>
          <w:tcPr>
            <w:tcW w:type="dxa" w:w="30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center"/>
            </w:pPr>
            <w:r>
              <w:rPr>
                <w:rFonts w:ascii="Times New Roman" w:cs="Times New Roman" w:eastAsia="Times New Roman" w:hAnsi="Times New Roman"/>
                <w:sz w:val="22"/>
                <w:szCs w:val="22"/>
              </w:rPr>
              <w:t xml:space="preserve">Dùng để so sánh</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sz w:val="22"/>
                <w:szCs w:val="22"/>
              </w:rPr>
              <w:t xml:space="preserve">Thái Lan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2"/>
                <w:szCs w:val="22"/>
              </w:rPr>
              <w:t xml:space="preserve">1990–2005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2"/>
                <w:szCs w:val="22"/>
              </w:rPr>
              <w:t xml:space="preserve">Tham khảo tài liệu</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2"/>
                <w:szCs w:val="22"/>
              </w:rPr>
              <w:t xml:space="preserve">Dùng để so sánh</w:t>
            </w:r>
          </w:p>
        </w:tc>
      </w:tr>
      <w:tr>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Times New Roman" w:cs="Times New Roman" w:eastAsia="Times New Roman" w:hAnsi="Times New Roman"/>
                <w:sz w:val="22"/>
                <w:szCs w:val="22"/>
              </w:rPr>
              <w:t xml:space="preserve">Indonesia</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center"/>
            </w:pPr>
            <w:r>
              <w:rPr>
                <w:rFonts w:ascii="Times New Roman" w:cs="Times New Roman" w:eastAsia="Times New Roman" w:hAnsi="Times New Roman"/>
                <w:sz w:val="22"/>
                <w:szCs w:val="22"/>
              </w:rPr>
              <w:t xml:space="preserve">2010–2020</w:t>
            </w:r>
          </w:p>
        </w:tc>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center"/>
            </w:pPr>
            <w:r>
              <w:rPr>
                <w:rFonts w:ascii="Times New Roman" w:cs="Times New Roman" w:eastAsia="Times New Roman" w:hAnsi="Times New Roman"/>
                <w:sz w:val="22"/>
                <w:szCs w:val="22"/>
              </w:rPr>
              <w:t xml:space="preserve">Tham khảo tài liệu</w:t>
            </w:r>
          </w:p>
        </w:tc>
        <w:tc>
          <w:tcPr>
            <w:tcW w:type="dxa" w:w="30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center"/>
            </w:pPr>
            <w:r>
              <w:rPr>
                <w:rFonts w:ascii="Times New Roman" w:cs="Times New Roman" w:eastAsia="Times New Roman" w:hAnsi="Times New Roman"/>
                <w:sz w:val="22"/>
                <w:szCs w:val="22"/>
              </w:rPr>
              <w:t xml:space="preserve">Dùng để so sánh</w:t>
            </w:r>
          </w:p>
        </w:tc>
      </w:tr>
    </w:tbl>
    <w:p>
      <w:pPr>
        <w:spacing w:after="80" w:before="160"/>
      </w:pPr>
    </w:p>
    <w:p>
      <w:pPr>
        <w:spacing w:after="100" w:before="80" w:line="360"/>
        <w:jc w:val="both"/>
      </w:pPr>
      <w:r>
        <w:rPr>
          <w:rFonts w:ascii="Times New Roman" w:cs="Times New Roman" w:eastAsia="Times New Roman" w:hAnsi="Times New Roman"/>
          <w:sz w:val="24"/>
          <w:szCs w:val="24"/>
        </w:rPr>
        <w:t xml:space="preserve">Bảng so sánh trên sẽ được hoàn thiện sau khi nhóm thu thập và tính toán ICOR từ dữ liệu thực tế. Kết quả so sánh dự kiến cho phép đánh giá Việt Nam đang ở đâu trong tiến trình nâng cao hiệu quả đầu tư so với các nền kinh tế trong khu vực.</w:t>
      </w:r>
    </w:p>
    <w:p>
      <w:pPr>
        <w:pStyle w:val="Heading1"/>
      </w:pPr>
      <w:r>
        <w:rPr>
          <w:rFonts w:ascii="Times New Roman" w:cs="Times New Roman" w:eastAsia="Times New Roman" w:hAnsi="Times New Roman"/>
          <w:b/>
          <w:bCs/>
          <w:color w:val="1F3864"/>
          <w:sz w:val="28"/>
          <w:szCs w:val="28"/>
        </w:rPr>
        <w:t xml:space="preserve">4. Câu hỏi nghiên cứu đề xuất</w:t>
      </w:r>
    </w:p>
    <w:p>
      <w:pPr>
        <w:spacing w:after="100" w:before="80" w:line="360"/>
        <w:jc w:val="both"/>
      </w:pPr>
      <w:r>
        <w:rPr>
          <w:rFonts w:ascii="Times New Roman" w:cs="Times New Roman" w:eastAsia="Times New Roman" w:hAnsi="Times New Roman"/>
          <w:sz w:val="24"/>
          <w:szCs w:val="24"/>
        </w:rPr>
        <w:t xml:space="preserve">Dựa trên phân tích trên, nhóm đề xuất các câu hỏi nghiên cứu sau:</w:t>
      </w:r>
    </w:p>
    <w:p>
      <w:pPr>
        <w:pStyle w:val="ListParagraph"/>
        <w:numPr>
          <w:ilvl w:val="0"/>
          <w:numId w:val="2"/>
        </w:numPr>
        <w:spacing w:after="60" w:before="60" w:line="340"/>
      </w:pPr>
      <w:r>
        <w:rPr>
          <w:rFonts w:ascii="Times New Roman" w:cs="Times New Roman" w:eastAsia="Times New Roman" w:hAnsi="Times New Roman"/>
          <w:sz w:val="24"/>
          <w:szCs w:val="24"/>
        </w:rPr>
        <w:t xml:space="preserve">ICOR của Việt Nam biến động như thế nào trong giai đoạn 1990–2023? Các giai đoạn nào ICOR cao bất thường và nguyên nhân là gì?</w:t>
      </w:r>
    </w:p>
    <w:p>
      <w:pPr>
        <w:pStyle w:val="ListParagraph"/>
        <w:numPr>
          <w:ilvl w:val="0"/>
          <w:numId w:val="2"/>
        </w:numPr>
        <w:spacing w:after="60" w:before="60" w:line="340"/>
      </w:pPr>
      <w:r>
        <w:rPr>
          <w:rFonts w:ascii="Times New Roman" w:cs="Times New Roman" w:eastAsia="Times New Roman" w:hAnsi="Times New Roman"/>
          <w:sz w:val="24"/>
          <w:szCs w:val="24"/>
        </w:rPr>
        <w:t xml:space="preserve">Đầu tư công, FDI và đầu tư tư nhân có đóng góp khác nhau như thế nào vào ICOR? Thành phần nào có hiệu quả sử dụng vốn cao nhất?</w:t>
      </w:r>
    </w:p>
    <w:p>
      <w:pPr>
        <w:pStyle w:val="ListParagraph"/>
        <w:numPr>
          <w:ilvl w:val="0"/>
          <w:numId w:val="2"/>
        </w:numPr>
        <w:spacing w:after="60" w:before="60" w:line="340"/>
      </w:pPr>
      <w:r>
        <w:rPr>
          <w:rFonts w:ascii="Times New Roman" w:cs="Times New Roman" w:eastAsia="Times New Roman" w:hAnsi="Times New Roman"/>
          <w:sz w:val="24"/>
          <w:szCs w:val="24"/>
        </w:rPr>
        <w:t xml:space="preserve">So sánh ICOR Việt Nam với Thái Lan, Indonesia và Trung Quốc — Việt Nam đang ở đâu trong tiến trình nâng cao hiệu quả đầu tư?</w:t>
      </w:r>
    </w:p>
    <w:p>
      <w:pPr>
        <w:spacing w:after="80" w:before="160"/>
      </w:pPr>
    </w:p>
    <w:p>
      <w:pPr>
        <w:pStyle w:val="Heading1"/>
      </w:pPr>
      <w:r>
        <w:rPr>
          <w:rFonts w:ascii="Times New Roman" w:cs="Times New Roman" w:eastAsia="Times New Roman" w:hAnsi="Times New Roman"/>
          <w:b/>
          <w:bCs/>
          <w:color w:val="1F3864"/>
          <w:sz w:val="28"/>
          <w:szCs w:val="28"/>
        </w:rPr>
        <w:t xml:space="preserve">5. Nguồn dữ liệu</w:t>
      </w: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1800"/>
        <w:gridCol w:w="3460"/>
      </w:tblGrid>
      <w:tr>
        <w:trPr>
          <w:tblHeader/>
        </w:trPr>
        <w:tc>
          <w:tcPr>
            <w:tcW w:type="dxa" w:w="1600"/>
            <w:tcBorders>
              <w:top w:val="single" w:color="CCCCCC" w:sz="1"/>
              <w:left w:val="single" w:color="CCCCCC" w:sz="1"/>
              <w:bottom w:val="single" w:color="CCCCCC" w:sz="1"/>
              <w:right w:val="single" w:color="CCCCCC" w:sz="1"/>
            </w:tcBorders>
            <w:shd w:fill="2E4D8A"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Biến</w:t>
            </w:r>
          </w:p>
        </w:tc>
        <w:tc>
          <w:tcPr>
            <w:tcW w:type="dxa" w:w="2200"/>
            <w:tcBorders>
              <w:top w:val="single" w:color="CCCCCC" w:sz="1"/>
              <w:left w:val="single" w:color="CCCCCC" w:sz="1"/>
              <w:bottom w:val="single" w:color="CCCCCC" w:sz="1"/>
              <w:right w:val="single" w:color="CCCCCC" w:sz="1"/>
            </w:tcBorders>
            <w:shd w:fill="2E4D8A"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Chỉ số cụ thể</w:t>
            </w:r>
          </w:p>
        </w:tc>
        <w:tc>
          <w:tcPr>
            <w:tcW w:type="dxa" w:w="1800"/>
            <w:tcBorders>
              <w:top w:val="single" w:color="CCCCCC" w:sz="1"/>
              <w:left w:val="single" w:color="CCCCCC" w:sz="1"/>
              <w:bottom w:val="single" w:color="CCCCCC" w:sz="1"/>
              <w:right w:val="single" w:color="CCCCCC" w:sz="1"/>
            </w:tcBorders>
            <w:shd w:fill="2E4D8A"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Nguồn</w:t>
            </w:r>
          </w:p>
        </w:tc>
        <w:tc>
          <w:tcPr>
            <w:tcW w:type="dxa" w:w="3460"/>
            <w:tcBorders>
              <w:top w:val="single" w:color="CCCCCC" w:sz="1"/>
              <w:left w:val="single" w:color="CCCCCC" w:sz="1"/>
              <w:bottom w:val="single" w:color="CCCCCC" w:sz="1"/>
              <w:right w:val="single" w:color="CCCCCC" w:sz="1"/>
            </w:tcBorders>
            <w:shd w:fill="2E4D8A"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Link</w:t>
            </w:r>
          </w:p>
        </w:tc>
      </w:tr>
      <w:tr>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Times New Roman" w:cs="Times New Roman" w:eastAsia="Times New Roman" w:hAnsi="Times New Roman"/>
                <w:sz w:val="22"/>
                <w:szCs w:val="22"/>
              </w:rPr>
              <w:t xml:space="preserve">Tỷ lệ đầu tư</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center"/>
            </w:pPr>
            <w:r>
              <w:rPr>
                <w:rFonts w:ascii="Times New Roman" w:cs="Times New Roman" w:eastAsia="Times New Roman" w:hAnsi="Times New Roman"/>
                <w:sz w:val="22"/>
                <w:szCs w:val="22"/>
              </w:rPr>
              <w:t xml:space="preserve">Gross Capital Formation (% of GDP)</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center"/>
            </w:pPr>
            <w:r>
              <w:rPr>
                <w:rFonts w:ascii="Times New Roman" w:cs="Times New Roman" w:eastAsia="Times New Roman" w:hAnsi="Times New Roman"/>
                <w:sz w:val="22"/>
                <w:szCs w:val="22"/>
              </w:rPr>
              <w:t xml:space="preserve">World Bank</w:t>
            </w:r>
          </w:p>
        </w:tc>
        <w:tc>
          <w:tcPr>
            <w:tcW w:type="dxa" w:w="34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center"/>
            </w:pPr>
            <w:r>
              <w:rPr>
                <w:rFonts w:ascii="Times New Roman" w:cs="Times New Roman" w:eastAsia="Times New Roman" w:hAnsi="Times New Roman"/>
                <w:sz w:val="22"/>
                <w:szCs w:val="22"/>
              </w:rPr>
              <w:t xml:space="preserve">data.worldbank.org — NE.GDI.TOTL.ZS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sz w:val="22"/>
                <w:szCs w:val="22"/>
              </w:rPr>
              <w:t xml:space="preserve">Tăng trưởng GDP</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2"/>
                <w:szCs w:val="22"/>
              </w:rPr>
              <w:t xml:space="preserve">GDP Growth (annual %)</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2"/>
                <w:szCs w:val="22"/>
              </w:rPr>
              <w:t xml:space="preserve">World Bank</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2"/>
                <w:szCs w:val="22"/>
              </w:rPr>
              <w:t xml:space="preserve">data.worldbank.org — NY.GDP.MKTP.KD.ZG</w:t>
            </w:r>
          </w:p>
        </w:tc>
      </w:tr>
      <w:tr>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Times New Roman" w:cs="Times New Roman" w:eastAsia="Times New Roman" w:hAnsi="Times New Roman"/>
                <w:sz w:val="22"/>
                <w:szCs w:val="22"/>
              </w:rPr>
              <w:t xml:space="preserve">FDI</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center"/>
            </w:pPr>
            <w:r>
              <w:rPr>
                <w:rFonts w:ascii="Times New Roman" w:cs="Times New Roman" w:eastAsia="Times New Roman" w:hAnsi="Times New Roman"/>
                <w:sz w:val="22"/>
                <w:szCs w:val="22"/>
              </w:rPr>
              <w:t xml:space="preserve">FDI net inflows (% of GDP)</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center"/>
            </w:pPr>
            <w:r>
              <w:rPr>
                <w:rFonts w:ascii="Times New Roman" w:cs="Times New Roman" w:eastAsia="Times New Roman" w:hAnsi="Times New Roman"/>
                <w:sz w:val="22"/>
                <w:szCs w:val="22"/>
              </w:rPr>
              <w:t xml:space="preserve">World Bank</w:t>
            </w:r>
          </w:p>
        </w:tc>
        <w:tc>
          <w:tcPr>
            <w:tcW w:type="dxa" w:w="34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center"/>
            </w:pPr>
            <w:r>
              <w:rPr>
                <w:rFonts w:ascii="Times New Roman" w:cs="Times New Roman" w:eastAsia="Times New Roman" w:hAnsi="Times New Roman"/>
                <w:sz w:val="22"/>
                <w:szCs w:val="22"/>
              </w:rPr>
              <w:t xml:space="preserve">data.worldbank.org — BX.KLT.DINV.WD.GD.ZS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sz w:val="22"/>
                <w:szCs w:val="22"/>
              </w:rPr>
              <w:t xml:space="preserve">Lãi suất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2"/>
                <w:szCs w:val="22"/>
              </w:rPr>
              <w:t xml:space="preserve">Lending Interest Rate (%)</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2"/>
                <w:szCs w:val="22"/>
              </w:rPr>
              <w:t xml:space="preserve">World Bank / IMF</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2"/>
                <w:szCs w:val="22"/>
              </w:rPr>
              <w:t xml:space="preserve">data.worldbank.org — FR.INR.LEND</w:t>
            </w:r>
          </w:p>
        </w:tc>
      </w:tr>
      <w:tr>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Times New Roman" w:cs="Times New Roman" w:eastAsia="Times New Roman" w:hAnsi="Times New Roman"/>
                <w:sz w:val="22"/>
                <w:szCs w:val="22"/>
              </w:rPr>
              <w:t xml:space="preserve">Cung tiền M2</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center"/>
            </w:pPr>
            <w:r>
              <w:rPr>
                <w:rFonts w:ascii="Times New Roman" w:cs="Times New Roman" w:eastAsia="Times New Roman" w:hAnsi="Times New Roman"/>
                <w:sz w:val="22"/>
                <w:szCs w:val="22"/>
              </w:rPr>
              <w:t xml:space="preserve">Broad Money M2 (% of GDP)</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center"/>
            </w:pPr>
            <w:r>
              <w:rPr>
                <w:rFonts w:ascii="Times New Roman" w:cs="Times New Roman" w:eastAsia="Times New Roman" w:hAnsi="Times New Roman"/>
                <w:sz w:val="22"/>
                <w:szCs w:val="22"/>
              </w:rPr>
              <w:t xml:space="preserve">World Bank</w:t>
            </w:r>
          </w:p>
        </w:tc>
        <w:tc>
          <w:tcPr>
            <w:tcW w:type="dxa" w:w="34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center"/>
            </w:pPr>
            <w:r>
              <w:rPr>
                <w:rFonts w:ascii="Times New Roman" w:cs="Times New Roman" w:eastAsia="Times New Roman" w:hAnsi="Times New Roman"/>
                <w:sz w:val="22"/>
                <w:szCs w:val="22"/>
              </w:rPr>
              <w:t xml:space="preserve">data.worldbank.org — FM.LBL.BMNY.GD.ZS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sz w:val="22"/>
                <w:szCs w:val="22"/>
              </w:rPr>
              <w:t xml:space="preserve">Đầu tư công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2"/>
                <w:szCs w:val="22"/>
              </w:rPr>
              <w:t xml:space="preserve">General Government Investment (% GDP)</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2"/>
                <w:szCs w:val="22"/>
              </w:rPr>
              <w:t xml:space="preserve">IMF</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2"/>
                <w:szCs w:val="22"/>
              </w:rPr>
              <w:t xml:space="preserve">imf.org/en/Data — Investment and Capital Stock</w:t>
            </w:r>
          </w:p>
        </w:tc>
      </w:tr>
      <w:tr>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Times New Roman" w:cs="Times New Roman" w:eastAsia="Times New Roman" w:hAnsi="Times New Roman"/>
                <w:sz w:val="22"/>
                <w:szCs w:val="22"/>
              </w:rPr>
              <w:t xml:space="preserve">Độ mở thương mại</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center"/>
            </w:pPr>
            <w:r>
              <w:rPr>
                <w:rFonts w:ascii="Times New Roman" w:cs="Times New Roman" w:eastAsia="Times New Roman" w:hAnsi="Times New Roman"/>
                <w:sz w:val="22"/>
                <w:szCs w:val="22"/>
              </w:rPr>
              <w:t xml:space="preserve">Trade (% of GDP)</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center"/>
            </w:pPr>
            <w:r>
              <w:rPr>
                <w:rFonts w:ascii="Times New Roman" w:cs="Times New Roman" w:eastAsia="Times New Roman" w:hAnsi="Times New Roman"/>
                <w:sz w:val="22"/>
                <w:szCs w:val="22"/>
              </w:rPr>
              <w:t xml:space="preserve">World Bank</w:t>
            </w:r>
          </w:p>
        </w:tc>
        <w:tc>
          <w:tcPr>
            <w:tcW w:type="dxa" w:w="34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center"/>
            </w:pPr>
            <w:r>
              <w:rPr>
                <w:rFonts w:ascii="Times New Roman" w:cs="Times New Roman" w:eastAsia="Times New Roman" w:hAnsi="Times New Roman"/>
                <w:sz w:val="22"/>
                <w:szCs w:val="22"/>
              </w:rPr>
              <w:t xml:space="preserve">data.worldbank.org — NE.TRD.GNFS.ZS</w:t>
            </w:r>
          </w:p>
        </w:tc>
      </w:tr>
    </w:tbl>
    <w:p>
      <w:pPr>
        <w:spacing w:after="80" w:before="200"/>
      </w:pPr>
    </w:p>
    <w:sectPr>
      <w:pgSz w:w="11906" w:h="16838" w:orient="portrait"/>
      <w:pgMar w:top="1440" w:right="108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Times New Roman" w:cs="Times New Roman" w:eastAsia="Times New Roman" w:hAnsi="Times New Roman"/>
      <w:b/>
      <w:bCs/>
      <w:color w:val="1F3864"/>
      <w:sz w:val="28"/>
      <w:szCs w:val="28"/>
    </w:rPr>
  </w:style>
  <w:style w:type="paragraph" w:styleId="Heading2">
    <w:name w:val="Heading 2"/>
    <w:basedOn w:val="Normal"/>
    <w:next w:val="Normal"/>
    <w:qFormat/>
    <w:pPr>
      <w:spacing w:after="120" w:before="240"/>
      <w:outlineLvl w:val="1"/>
    </w:pPr>
    <w:rPr>
      <w:rFonts w:ascii="Times New Roman" w:cs="Times New Roman" w:eastAsia="Times New Roman" w:hAnsi="Times New Roman"/>
      <w:b/>
      <w:bCs/>
      <w:color w:val="2E4D8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2026-05-08T09:14:12.436Z</dcterms:created>
  <dcterms:modified xsi:type="dcterms:W3CDTF">2026-05-08T09:14:12.451Z</dcterms:modified>
</cp:coreProperties>
</file>

<file path=docProps/custom.xml><?xml version="1.0" encoding="utf-8"?>
<Properties xmlns="http://schemas.openxmlformats.org/officeDocument/2006/custom-properties" xmlns:vt="http://schemas.openxmlformats.org/officeDocument/2006/docPropsVTypes"/>
</file>