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221C" w:rsidRPr="000152B9" w:rsidRDefault="0089221C" w:rsidP="0089221C">
      <w:pPr>
        <w:pStyle w:val="ListParagraph"/>
        <w:autoSpaceDE w:val="0"/>
        <w:autoSpaceDN w:val="0"/>
        <w:adjustRightInd w:val="0"/>
        <w:spacing w:after="0" w:line="240" w:lineRule="auto"/>
        <w:ind w:left="1080"/>
        <w:jc w:val="both"/>
        <w:rPr>
          <w:rFonts w:ascii="Times New Roman" w:hAnsi="Times New Roman" w:cs="Times New Roman"/>
          <w:sz w:val="24"/>
          <w:szCs w:val="24"/>
        </w:rPr>
      </w:pPr>
      <w:r w:rsidRPr="000152B9">
        <w:rPr>
          <w:rFonts w:ascii="Times New Roman" w:hAnsi="Times New Roman" w:cs="Times New Roman"/>
          <w:sz w:val="24"/>
          <w:szCs w:val="24"/>
        </w:rPr>
        <w:t>Nomor 166 K/Pdt.Sus-HKI/2016</w:t>
      </w:r>
    </w:p>
    <w:p w:rsidR="0089221C" w:rsidRDefault="0089221C" w:rsidP="0089221C">
      <w:pPr>
        <w:pStyle w:val="ListParagraph"/>
        <w:autoSpaceDE w:val="0"/>
        <w:autoSpaceDN w:val="0"/>
        <w:adjustRightInd w:val="0"/>
        <w:spacing w:after="0" w:line="240" w:lineRule="auto"/>
        <w:ind w:firstLine="360"/>
        <w:jc w:val="both"/>
        <w:rPr>
          <w:rFonts w:ascii="Times New Roman" w:hAnsi="Times New Roman" w:cs="Times New Roman"/>
          <w:sz w:val="24"/>
          <w:szCs w:val="24"/>
        </w:rPr>
      </w:pPr>
      <w:r w:rsidRPr="000152B9">
        <w:rPr>
          <w:rFonts w:ascii="Times New Roman" w:hAnsi="Times New Roman" w:cs="Times New Roman"/>
          <w:sz w:val="24"/>
          <w:szCs w:val="24"/>
        </w:rPr>
        <w:t>TOLAK</w:t>
      </w:r>
    </w:p>
    <w:p w:rsidR="0089221C" w:rsidRDefault="0089221C" w:rsidP="0089221C">
      <w:pPr>
        <w:pStyle w:val="ListParagraph"/>
        <w:numPr>
          <w:ilvl w:val="0"/>
          <w:numId w:val="2"/>
        </w:numPr>
        <w:autoSpaceDE w:val="0"/>
        <w:autoSpaceDN w:val="0"/>
        <w:adjustRightInd w:val="0"/>
        <w:spacing w:after="0" w:line="240" w:lineRule="auto"/>
        <w:rPr>
          <w:rFonts w:ascii="Courier New" w:hAnsi="Courier New" w:cs="Courier New"/>
          <w:sz w:val="24"/>
          <w:szCs w:val="24"/>
        </w:rPr>
      </w:pPr>
      <w:r w:rsidRPr="00C71B5E">
        <w:rPr>
          <w:rFonts w:ascii="Courier New" w:hAnsi="Courier New" w:cs="Courier New"/>
          <w:sz w:val="24"/>
          <w:szCs w:val="24"/>
        </w:rPr>
        <w:t>Menolak permohonan kasasi yang diajukan oleh Pemohon Kasasi YUANA TANAYA tersebut.</w:t>
      </w:r>
    </w:p>
    <w:p w:rsidR="0089221C" w:rsidRPr="00C71B5E" w:rsidRDefault="0089221C" w:rsidP="0089221C">
      <w:pPr>
        <w:pStyle w:val="ListParagraph"/>
        <w:autoSpaceDE w:val="0"/>
        <w:autoSpaceDN w:val="0"/>
        <w:adjustRightInd w:val="0"/>
        <w:spacing w:after="0" w:line="240" w:lineRule="auto"/>
        <w:ind w:left="1440"/>
        <w:rPr>
          <w:rFonts w:ascii="Courier New" w:hAnsi="Courier New" w:cs="Courier New"/>
          <w:sz w:val="24"/>
          <w:szCs w:val="24"/>
        </w:rPr>
      </w:pPr>
    </w:p>
    <w:p w:rsidR="0089221C" w:rsidRDefault="0089221C" w:rsidP="0089221C">
      <w:pPr>
        <w:pStyle w:val="ListParagraph"/>
        <w:numPr>
          <w:ilvl w:val="0"/>
          <w:numId w:val="1"/>
        </w:numPr>
        <w:autoSpaceDE w:val="0"/>
        <w:autoSpaceDN w:val="0"/>
        <w:adjustRightInd w:val="0"/>
        <w:spacing w:after="0" w:line="240" w:lineRule="auto"/>
        <w:jc w:val="both"/>
        <w:rPr>
          <w:rFonts w:ascii="Courier New" w:hAnsi="Courier New" w:cs="Courier New"/>
          <w:sz w:val="24"/>
          <w:szCs w:val="24"/>
        </w:rPr>
      </w:pPr>
      <w:r w:rsidRPr="006361CA">
        <w:rPr>
          <w:rFonts w:ascii="Courier New" w:hAnsi="Courier New" w:cs="Courier New"/>
          <w:sz w:val="24"/>
          <w:szCs w:val="24"/>
        </w:rPr>
        <w:t>Bahwa dari uraian yang telah Penggugat jelaskan, Penggugat juga menduga bahwa Merek “Sephora” milik Tergugat didaftarkan dan dilandasi oleh itikad tidak baik, yaitu dengan maksud meniru dan membonceng keterkenalan Merek “Sephora” milik Penggugat yang nota bene adalah merek terkenal.</w:t>
      </w:r>
    </w:p>
    <w:p w:rsidR="0089221C" w:rsidRDefault="0089221C" w:rsidP="0089221C">
      <w:pPr>
        <w:pStyle w:val="ListParagraph"/>
        <w:autoSpaceDE w:val="0"/>
        <w:autoSpaceDN w:val="0"/>
        <w:adjustRightInd w:val="0"/>
        <w:spacing w:after="0" w:line="240" w:lineRule="auto"/>
        <w:ind w:left="1440"/>
        <w:jc w:val="both"/>
        <w:rPr>
          <w:rFonts w:ascii="Courier New" w:hAnsi="Courier New" w:cs="Courier New"/>
          <w:sz w:val="24"/>
          <w:szCs w:val="24"/>
        </w:rPr>
      </w:pPr>
    </w:p>
    <w:p w:rsidR="0089221C" w:rsidRPr="006361CA" w:rsidRDefault="0089221C" w:rsidP="0089221C">
      <w:pPr>
        <w:pStyle w:val="ListParagraph"/>
        <w:numPr>
          <w:ilvl w:val="0"/>
          <w:numId w:val="1"/>
        </w:numPr>
        <w:autoSpaceDE w:val="0"/>
        <w:autoSpaceDN w:val="0"/>
        <w:adjustRightInd w:val="0"/>
        <w:spacing w:after="0" w:line="240" w:lineRule="auto"/>
        <w:jc w:val="both"/>
        <w:rPr>
          <w:rFonts w:ascii="Courier New" w:hAnsi="Courier New" w:cs="Courier New"/>
          <w:sz w:val="24"/>
          <w:szCs w:val="24"/>
        </w:rPr>
      </w:pPr>
      <w:r w:rsidRPr="006361CA">
        <w:rPr>
          <w:rFonts w:ascii="Courier New" w:hAnsi="Courier New" w:cs="Courier New"/>
          <w:sz w:val="24"/>
          <w:szCs w:val="24"/>
        </w:rPr>
        <w:t>Bahwa dugaan adanya itikad tidak baik dari Tergugat dapat dilihat dari fakta-fakta sebagai berikut:</w:t>
      </w:r>
    </w:p>
    <w:p w:rsidR="0089221C" w:rsidRPr="006361CA" w:rsidRDefault="0089221C" w:rsidP="0089221C">
      <w:pPr>
        <w:autoSpaceDE w:val="0"/>
        <w:autoSpaceDN w:val="0"/>
        <w:adjustRightInd w:val="0"/>
        <w:spacing w:after="0" w:line="240" w:lineRule="auto"/>
        <w:ind w:left="1440" w:firstLine="720"/>
        <w:jc w:val="both"/>
        <w:rPr>
          <w:rFonts w:ascii="Courier New" w:hAnsi="Courier New" w:cs="Courier New"/>
          <w:sz w:val="24"/>
          <w:szCs w:val="24"/>
        </w:rPr>
      </w:pPr>
      <w:r w:rsidRPr="006361CA">
        <w:rPr>
          <w:rFonts w:ascii="Courier New" w:hAnsi="Courier New" w:cs="Courier New"/>
          <w:sz w:val="24"/>
          <w:szCs w:val="24"/>
        </w:rPr>
        <w:t>a. Adanya persamaan yang sedemikian erat antara Merek “Sephora” milik Tergugat dengan Merek “Sephora” milik Penggu</w:t>
      </w:r>
      <w:r>
        <w:rPr>
          <w:rFonts w:ascii="Courier New" w:hAnsi="Courier New" w:cs="Courier New"/>
          <w:sz w:val="24"/>
          <w:szCs w:val="24"/>
        </w:rPr>
        <w:t xml:space="preserve">gat yang nota bene </w:t>
      </w:r>
      <w:r w:rsidRPr="006361CA">
        <w:rPr>
          <w:rFonts w:ascii="Courier New" w:hAnsi="Courier New" w:cs="Courier New"/>
          <w:sz w:val="24"/>
          <w:szCs w:val="24"/>
        </w:rPr>
        <w:t>adalah merek terkenal, sehingga pat</w:t>
      </w:r>
      <w:r>
        <w:rPr>
          <w:rFonts w:ascii="Courier New" w:hAnsi="Courier New" w:cs="Courier New"/>
          <w:sz w:val="24"/>
          <w:szCs w:val="24"/>
        </w:rPr>
        <w:t xml:space="preserve">ut diduga Merek “Sephora” milik </w:t>
      </w:r>
      <w:r w:rsidRPr="006361CA">
        <w:rPr>
          <w:rFonts w:ascii="Courier New" w:hAnsi="Courier New" w:cs="Courier New"/>
          <w:sz w:val="24"/>
          <w:szCs w:val="24"/>
        </w:rPr>
        <w:t>Tergugat merupakan hasil penjiplakan Merek “Sephora” milik Penggugat;</w:t>
      </w:r>
    </w:p>
    <w:p w:rsidR="0089221C" w:rsidRDefault="0089221C" w:rsidP="0089221C">
      <w:pPr>
        <w:autoSpaceDE w:val="0"/>
        <w:autoSpaceDN w:val="0"/>
        <w:adjustRightInd w:val="0"/>
        <w:spacing w:after="0" w:line="240" w:lineRule="auto"/>
        <w:ind w:left="1440" w:firstLine="720"/>
        <w:jc w:val="both"/>
        <w:rPr>
          <w:rFonts w:ascii="Courier New" w:hAnsi="Courier New" w:cs="Courier New"/>
          <w:sz w:val="24"/>
          <w:szCs w:val="24"/>
        </w:rPr>
      </w:pPr>
      <w:r w:rsidRPr="006361CA">
        <w:rPr>
          <w:rFonts w:ascii="Courier New" w:hAnsi="Courier New" w:cs="Courier New"/>
          <w:sz w:val="24"/>
          <w:szCs w:val="24"/>
        </w:rPr>
        <w:t>b. Adanya fakta bahwa Merek “Sephora” milik Tergugat didaftarkan setelah Penggugat mendaftarkan dan m</w:t>
      </w:r>
      <w:r>
        <w:rPr>
          <w:rFonts w:ascii="Courier New" w:hAnsi="Courier New" w:cs="Courier New"/>
          <w:sz w:val="24"/>
          <w:szCs w:val="24"/>
        </w:rPr>
        <w:t xml:space="preserve">empergunakan Merek “Sephora” di </w:t>
      </w:r>
      <w:r w:rsidRPr="006361CA">
        <w:rPr>
          <w:rFonts w:ascii="Courier New" w:hAnsi="Courier New" w:cs="Courier New"/>
          <w:sz w:val="24"/>
          <w:szCs w:val="24"/>
        </w:rPr>
        <w:t>banyak negara di dunia oleh Penggugat, jauh sebelum Tergugat mendaftarakan dan mempergunakannya.</w:t>
      </w:r>
    </w:p>
    <w:p w:rsidR="0089221C" w:rsidRDefault="0089221C" w:rsidP="0089221C">
      <w:pPr>
        <w:autoSpaceDE w:val="0"/>
        <w:autoSpaceDN w:val="0"/>
        <w:adjustRightInd w:val="0"/>
        <w:spacing w:after="0" w:line="240" w:lineRule="auto"/>
        <w:ind w:left="1440" w:firstLine="720"/>
        <w:jc w:val="both"/>
        <w:rPr>
          <w:rFonts w:ascii="Courier New" w:hAnsi="Courier New" w:cs="Courier New"/>
          <w:sz w:val="24"/>
          <w:szCs w:val="24"/>
        </w:rPr>
      </w:pPr>
    </w:p>
    <w:p w:rsidR="001556E4" w:rsidRDefault="001556E4"/>
    <w:sectPr w:rsidR="001556E4" w:rsidSect="001556E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D9671A"/>
    <w:multiLevelType w:val="hybridMultilevel"/>
    <w:tmpl w:val="275AEBD0"/>
    <w:lvl w:ilvl="0" w:tplc="1A22F9C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nsid w:val="61524FDC"/>
    <w:multiLevelType w:val="hybridMultilevel"/>
    <w:tmpl w:val="D780FCCE"/>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
    <w:nsid w:val="718A1A72"/>
    <w:multiLevelType w:val="hybridMultilevel"/>
    <w:tmpl w:val="684245D2"/>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9221C"/>
    <w:rsid w:val="001556E4"/>
    <w:rsid w:val="0089221C"/>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221C"/>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221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150</Words>
  <Characters>856</Characters>
  <Application>Microsoft Office Word</Application>
  <DocSecurity>0</DocSecurity>
  <Lines>7</Lines>
  <Paragraphs>2</Paragraphs>
  <ScaleCrop>false</ScaleCrop>
  <Company/>
  <LinksUpToDate>false</LinksUpToDate>
  <CharactersWithSpaces>1004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i-00</dc:creator>
  <cp:lastModifiedBy>i-00</cp:lastModifiedBy>
  <cp:revision>1</cp:revision>
  <dcterms:created xsi:type="dcterms:W3CDTF">2018-11-28T10:56:00Z</dcterms:created>
  <dcterms:modified xsi:type="dcterms:W3CDTF">2018-11-28T10:56:00Z</dcterms:modified>
</cp:coreProperties>
</file>