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PEMETAAN KEPATUHAN STANDAR MAHASISWA DAN LUARAN MAHASISWA FTII</w:t>
      </w:r>
    </w:p>
    <w:p>
      <w:pPr>
        <w:jc w:val="center"/>
      </w:pPr>
      <w:r>
        <w:rPr>
          <w:b/>
          <w:sz w:val="26"/>
        </w:rPr>
        <w:t>terhadap Kriteria C.6 Mahasiswa dan Luaran Mahasiswa</w:t>
      </w:r>
    </w:p>
    <w:p>
      <w:pPr>
        <w:jc w:val="center"/>
      </w:pPr>
      <w:r>
        <w:rPr>
          <w:b w:val="0"/>
          <w:sz w:val="22"/>
        </w:rPr>
        <w:t>Pedoman Penyusunan Laporan Evaluasi Diri Program Studi (LEDPS) — Lampiran 2 Peraturan LAM Teknik Nomor 5 Tahun 2025</w:t>
      </w:r>
    </w:p>
    <w:p/>
    <w:p>
      <w:pPr>
        <w:spacing w:after="120"/>
      </w:pPr>
      <w:r>
        <w:rPr>
          <w:b w:val="0"/>
          <w:i w:val="0"/>
        </w:rPr>
        <w:t>Catatan metodologis: berbeda dari kriteria C.1-C.5, elemen-elemen Kriteria C.6 tersebar pada TIGA keluarga standar FTII sekaligus: (1) Standar Kemahasiswaan FTII (existing: DRAFTFLLPembaharuanFTIIStandar kemahasiswaan_fix_OKe.docx; Unggul: Standar_Kemahasiswaan_Unggul_FTII.docx) untuk rasio mahasiswa asing, prestasi mahasiswa, dan sebagian luaran mahasiswa; (2) Standar Luaran Pendidikan FTII (Unggul: standarluaranpendidikanunggul.docx — versi dasar standarluaranpendidikan.docx tidak ditemukan filenya) untuk IPK, kelulusan tepat waktu, lama studi, waktu tunggu, kesesuaian bidang kerja, tingkat kerja, kepuasan pengguna lulusan, dan tracer study; (3) Standar Luaran Penelitian (standarluaranpenelitian.docx dan unggul) dan Standar Luaran PkM (standarluaranpkm.docx dan unggul) untuk publikasi ilmiah dan luaran karya mahasiswa dari penelitian/PkM. Rasio mahasiswa terhadap DTPS ditemukan bukan pada ketiga keluarga di atas, melainkan pada Standar Masukan Pendidikan Unggul (standarmasukanpendidikanunggul.docx, bagian B) yang dirumuskan dari sudut pandang rasio dosen:mahasiswa — secara substansi sama dengan yang diminta LED. Seluruh kutipan diverifikasi dari teks asli hasil pembacaan langsung dokumen via python-docx, bukan dari ingatan/ringkasan percakapan sebelumnya.</w:t>
      </w:r>
    </w:p>
    <w:p>
      <w:pPr>
        <w:spacing w:before="280" w:after="120"/>
      </w:pPr>
      <w:r>
        <w:rPr>
          <w:b/>
          <w:sz w:val="26"/>
        </w:rPr>
        <w:t>A. RINGKASAN STATUS KEPATUHAN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D9D9D9"/>
          </w:tcPr>
          <w:p>
            <w:r/>
            <w:r>
              <w:rPr>
                <w:b/>
                <w:sz w:val="19"/>
              </w:rPr>
              <w:t>Sub-Elemen C.6</w:t>
            </w:r>
          </w:p>
        </w:tc>
        <w:tc>
          <w:tcPr>
            <w:tcW w:type="dxa" w:w="2160"/>
            <w:shd w:val="clear" w:color="auto" w:fill="D9D9D9"/>
          </w:tcPr>
          <w:p>
            <w:r/>
            <w:r>
              <w:rPr>
                <w:b/>
                <w:sz w:val="19"/>
              </w:rPr>
              <w:t>Dokumen Sumber FTII</w:t>
            </w:r>
          </w:p>
        </w:tc>
        <w:tc>
          <w:tcPr>
            <w:tcW w:type="dxa" w:w="2160"/>
            <w:shd w:val="clear" w:color="auto" w:fill="D9D9D9"/>
          </w:tcPr>
          <w:p>
            <w:r/>
            <w:r>
              <w:rPr>
                <w:b/>
                <w:sz w:val="19"/>
              </w:rPr>
              <w:t>Ketentuan yang Ditemukan (ringkas)</w:t>
            </w:r>
          </w:p>
        </w:tc>
        <w:tc>
          <w:tcPr>
            <w:tcW w:type="dxa" w:w="2160"/>
            <w:shd w:val="clear" w:color="auto" w:fill="D9D9D9"/>
          </w:tcPr>
          <w:p>
            <w:r/>
            <w:r>
              <w:rPr>
                <w:b/>
                <w:sz w:val="19"/>
              </w:rPr>
              <w:t>Status</w:t>
            </w:r>
          </w:p>
        </w:tc>
      </w:tr>
      <w:tr>
        <w:tc>
          <w:tcPr>
            <w:tcW w:type="dxa" w:w="2160"/>
          </w:tcPr>
          <w:p>
            <w:r/>
            <w:r>
              <w:rPr>
                <w:b w:val="0"/>
                <w:sz w:val="19"/>
              </w:rPr>
              <w:t>a. Rasio mahasiswa:DTPS</w:t>
            </w:r>
          </w:p>
        </w:tc>
        <w:tc>
          <w:tcPr>
            <w:tcW w:type="dxa" w:w="2160"/>
          </w:tcPr>
          <w:p>
            <w:r/>
            <w:r>
              <w:rPr>
                <w:b w:val="0"/>
                <w:sz w:val="19"/>
              </w:rPr>
              <w:t>Standar Masukan Pendidikan Unggul, Pernyataan Standar B</w:t>
            </w:r>
          </w:p>
        </w:tc>
        <w:tc>
          <w:tcPr>
            <w:tcW w:type="dxa" w:w="2160"/>
          </w:tcPr>
          <w:p>
            <w:r/>
            <w:r>
              <w:rPr>
                <w:b w:val="0"/>
                <w:sz w:val="19"/>
              </w:rPr>
              <w:t>Rasio dosen tetap prodi:mahasiswa dijaga pada rentang ideal 1:20-1:25</w:t>
            </w:r>
          </w:p>
        </w:tc>
        <w:tc>
          <w:tcPr>
            <w:tcW w:type="dxa" w:w="2160"/>
            <w:shd w:val="clear" w:color="auto" w:fill="C6E0B4"/>
          </w:tcPr>
          <w:p>
            <w:r/>
            <w:r>
              <w:rPr>
                <w:b w:val="0"/>
                <w:sz w:val="19"/>
              </w:rPr>
              <w:t>TERPENUHI — dirumuskan di standar berbeda (Masukan Pendidikan), bukan di Kemahasiswaan/Luaran</w:t>
            </w:r>
          </w:p>
        </w:tc>
      </w:tr>
      <w:tr>
        <w:tc>
          <w:tcPr>
            <w:tcW w:type="dxa" w:w="2160"/>
          </w:tcPr>
          <w:p>
            <w:r/>
            <w:r>
              <w:rPr>
                <w:b w:val="0"/>
                <w:sz w:val="19"/>
              </w:rPr>
              <w:t>b. Persentase mahasiswa asing</w:t>
            </w:r>
          </w:p>
        </w:tc>
        <w:tc>
          <w:tcPr>
            <w:tcW w:type="dxa" w:w="2160"/>
          </w:tcPr>
          <w:p>
            <w:r/>
            <w:r>
              <w:rPr>
                <w:b w:val="0"/>
                <w:sz w:val="19"/>
              </w:rPr>
              <w:t>Kemahasiswaan Unggul IKU #10</w:t>
            </w:r>
          </w:p>
        </w:tc>
        <w:tc>
          <w:tcPr>
            <w:tcW w:type="dxa" w:w="2160"/>
          </w:tcPr>
          <w:p>
            <w:r/>
            <w:r>
              <w:rPr>
                <w:b w:val="0"/>
                <w:sz w:val="19"/>
              </w:rPr>
              <w:t>≥0,5% (2025/26) → ≥1% (2026/27) → ≥1,5% (2027/28) dari total mahasiswa FTII</w:t>
            </w:r>
          </w:p>
        </w:tc>
        <w:tc>
          <w:tcPr>
            <w:tcW w:type="dxa" w:w="2160"/>
            <w:shd w:val="clear" w:color="auto" w:fill="F8CBAD"/>
          </w:tcPr>
          <w:p>
            <w:r/>
            <w:r>
              <w:rPr>
                <w:b w:val="0"/>
                <w:sz w:val="19"/>
              </w:rPr>
              <w:t>existing: BELUM TERPENUHI (tidak ada); Unggul: TERPENUHI</w:t>
            </w:r>
          </w:p>
        </w:tc>
      </w:tr>
      <w:tr>
        <w:tc>
          <w:tcPr>
            <w:tcW w:type="dxa" w:w="2160"/>
          </w:tcPr>
          <w:p>
            <w:r/>
            <w:r>
              <w:rPr>
                <w:b w:val="0"/>
                <w:sz w:val="19"/>
              </w:rPr>
              <w:t>c. IPK lulusan (rerata)</w:t>
            </w:r>
          </w:p>
        </w:tc>
        <w:tc>
          <w:tcPr>
            <w:tcW w:type="dxa" w:w="2160"/>
          </w:tcPr>
          <w:p>
            <w:r/>
            <w:r>
              <w:rPr>
                <w:b w:val="0"/>
                <w:sz w:val="19"/>
              </w:rPr>
              <w:t>Luaran Pendidikan Unggul IKU #8</w:t>
            </w:r>
          </w:p>
        </w:tc>
        <w:tc>
          <w:tcPr>
            <w:tcW w:type="dxa" w:w="2160"/>
          </w:tcPr>
          <w:p>
            <w:r/>
            <w:r>
              <w:rPr>
                <w:b w:val="0"/>
                <w:sz w:val="19"/>
              </w:rPr>
              <w:t>≥3,25 (2025/26) meningkat menuju ≥3,40 (2027/28)</w:t>
            </w:r>
          </w:p>
        </w:tc>
        <w:tc>
          <w:tcPr>
            <w:tcW w:type="dxa" w:w="2160"/>
            <w:shd w:val="clear" w:color="auto" w:fill="C6E0B4"/>
          </w:tcPr>
          <w:p>
            <w:r/>
            <w:r>
              <w:rPr>
                <w:b w:val="0"/>
                <w:sz w:val="19"/>
              </w:rPr>
              <w:t>TERPENUHI</w:t>
            </w:r>
          </w:p>
        </w:tc>
      </w:tr>
      <w:tr>
        <w:tc>
          <w:tcPr>
            <w:tcW w:type="dxa" w:w="2160"/>
          </w:tcPr>
          <w:p>
            <w:r/>
            <w:r>
              <w:rPr>
                <w:b w:val="0"/>
                <w:sz w:val="19"/>
              </w:rPr>
              <w:t>d. Prestasi mahasiswa akademik &amp; non-akademik (5 tahun terakhir)</w:t>
            </w:r>
          </w:p>
        </w:tc>
        <w:tc>
          <w:tcPr>
            <w:tcW w:type="dxa" w:w="2160"/>
          </w:tcPr>
          <w:p>
            <w:r/>
            <w:r>
              <w:rPr>
                <w:b w:val="0"/>
                <w:sz w:val="19"/>
              </w:rPr>
              <w:t>Kemahasiswaan Unggul IKU #7-9; Luaran Pendidikan Unggul IKU #14-17</w:t>
            </w:r>
          </w:p>
        </w:tc>
        <w:tc>
          <w:tcPr>
            <w:tcW w:type="dxa" w:w="2160"/>
          </w:tcPr>
          <w:p>
            <w:r/>
            <w:r>
              <w:rPr>
                <w:b w:val="0"/>
                <w:sz w:val="19"/>
              </w:rPr>
              <w:t>Kemahasiswaan: ≥4-5 prestasi akademik &amp; ≥8-10 non-akademik per prodi (3 tahun); Luaran Pendidikan: rasio 0,2-0,3% (internasional), 2-3% (nasional) terhadap populasi</w:t>
            </w:r>
          </w:p>
        </w:tc>
        <w:tc>
          <w:tcPr>
            <w:tcW w:type="dxa" w:w="2160"/>
            <w:shd w:val="clear" w:color="auto" w:fill="C6E0B4"/>
          </w:tcPr>
          <w:p>
            <w:r/>
            <w:r>
              <w:rPr>
                <w:b w:val="0"/>
                <w:sz w:val="19"/>
              </w:rPr>
              <w:t>TERPENUHI PENUH — namun dicatat pada DUA standar berbeda dengan basis periode berbeda (3 vs 5 tahun); perlu sinkronisasi periode ke 5 tahun sesuai LED</w:t>
            </w:r>
          </w:p>
        </w:tc>
      </w:tr>
      <w:tr>
        <w:tc>
          <w:tcPr>
            <w:tcW w:type="dxa" w:w="2160"/>
          </w:tcPr>
          <w:p>
            <w:r/>
            <w:r>
              <w:rPr>
                <w:b w:val="0"/>
                <w:sz w:val="19"/>
              </w:rPr>
              <w:t>e. Produk/jasa karya mahasiswa diadopsi industri/masyarakat (3 tahun terakhir)</w:t>
            </w:r>
          </w:p>
        </w:tc>
        <w:tc>
          <w:tcPr>
            <w:tcW w:type="dxa" w:w="2160"/>
          </w:tcPr>
          <w:p>
            <w:r/>
            <w:r>
              <w:rPr>
                <w:b w:val="0"/>
                <w:sz w:val="19"/>
              </w:rPr>
              <w:t>—</w:t>
            </w:r>
          </w:p>
        </w:tc>
        <w:tc>
          <w:tcPr>
            <w:tcW w:type="dxa" w:w="2160"/>
          </w:tcPr>
          <w:p>
            <w:r/>
            <w:r>
              <w:rPr>
                <w:b w:val="0"/>
                <w:sz w:val="19"/>
              </w:rPr>
              <w:t>Tidak ditemukan pada Kemahasiswaan, Luaran Pendidikan, Luaran Penelitian, maupun Luaran PkM (baik existing maupun Unggul)</w:t>
            </w:r>
          </w:p>
        </w:tc>
        <w:tc>
          <w:tcPr>
            <w:tcW w:type="dxa" w:w="2160"/>
            <w:shd w:val="clear" w:color="auto" w:fill="F8CBAD"/>
          </w:tcPr>
          <w:p>
            <w:r/>
            <w:r>
              <w:rPr>
                <w:b w:val="0"/>
                <w:sz w:val="19"/>
              </w:rPr>
              <w:t>BELUM TERPENUHI — TIDAK DITEMUKAN di seluruh dokumen yang diperiksa</w:t>
            </w:r>
          </w:p>
        </w:tc>
      </w:tr>
      <w:tr>
        <w:tc>
          <w:tcPr>
            <w:tcW w:type="dxa" w:w="2160"/>
          </w:tcPr>
          <w:p>
            <w:r/>
            <w:r>
              <w:rPr>
                <w:b w:val="0"/>
                <w:sz w:val="19"/>
              </w:rPr>
              <w:t>f. Masa studi (rerata)</w:t>
            </w:r>
          </w:p>
        </w:tc>
        <w:tc>
          <w:tcPr>
            <w:tcW w:type="dxa" w:w="2160"/>
          </w:tcPr>
          <w:p>
            <w:r/>
            <w:r>
              <w:rPr>
                <w:b w:val="0"/>
                <w:sz w:val="19"/>
              </w:rPr>
              <w:t>Luaran Pendidikan Unggul IKU #7</w:t>
            </w:r>
          </w:p>
        </w:tc>
        <w:tc>
          <w:tcPr>
            <w:tcW w:type="dxa" w:w="2160"/>
          </w:tcPr>
          <w:p>
            <w:r/>
            <w:r>
              <w:rPr>
                <w:b w:val="0"/>
                <w:sz w:val="19"/>
              </w:rPr>
              <w:t>4,0 tahun (rentang ambang 3,5-4,5 tahun)</w:t>
            </w:r>
          </w:p>
        </w:tc>
        <w:tc>
          <w:tcPr>
            <w:tcW w:type="dxa" w:w="2160"/>
            <w:shd w:val="clear" w:color="auto" w:fill="C6E0B4"/>
          </w:tcPr>
          <w:p>
            <w:r/>
            <w:r>
              <w:rPr>
                <w:b w:val="0"/>
                <w:sz w:val="19"/>
              </w:rPr>
              <w:t>TERPENUHI</w:t>
            </w:r>
          </w:p>
        </w:tc>
      </w:tr>
      <w:tr>
        <w:tc>
          <w:tcPr>
            <w:tcW w:type="dxa" w:w="2160"/>
          </w:tcPr>
          <w:p>
            <w:r/>
            <w:r>
              <w:rPr>
                <w:b w:val="0"/>
                <w:sz w:val="19"/>
              </w:rPr>
              <w:t>g. Lulusan tepat waktu (persentase)</w:t>
            </w:r>
          </w:p>
        </w:tc>
        <w:tc>
          <w:tcPr>
            <w:tcW w:type="dxa" w:w="2160"/>
          </w:tcPr>
          <w:p>
            <w:r/>
            <w:r>
              <w:rPr>
                <w:b w:val="0"/>
                <w:sz w:val="19"/>
              </w:rPr>
              <w:t>Luaran Pendidikan Unggul IKU #6</w:t>
            </w:r>
          </w:p>
        </w:tc>
        <w:tc>
          <w:tcPr>
            <w:tcW w:type="dxa" w:w="2160"/>
          </w:tcPr>
          <w:p>
            <w:r/>
            <w:r>
              <w:rPr>
                <w:b w:val="0"/>
                <w:sz w:val="19"/>
              </w:rPr>
              <w:t>60% (2025/26) meningkat menuju 65% (2027/28)</w:t>
            </w:r>
          </w:p>
        </w:tc>
        <w:tc>
          <w:tcPr>
            <w:tcW w:type="dxa" w:w="2160"/>
            <w:shd w:val="clear" w:color="auto" w:fill="C6E0B4"/>
          </w:tcPr>
          <w:p>
            <w:r/>
            <w:r>
              <w:rPr>
                <w:b w:val="0"/>
                <w:sz w:val="19"/>
              </w:rPr>
              <w:t>TERPENUHI</w:t>
            </w:r>
          </w:p>
        </w:tc>
      </w:tr>
      <w:tr>
        <w:tc>
          <w:tcPr>
            <w:tcW w:type="dxa" w:w="2160"/>
          </w:tcPr>
          <w:p>
            <w:r/>
            <w:r>
              <w:rPr>
                <w:b w:val="0"/>
                <w:sz w:val="19"/>
              </w:rPr>
              <w:t>i. Publikasi ilmiah mahasiswa (3 tahun terakhir)</w:t>
            </w:r>
          </w:p>
        </w:tc>
        <w:tc>
          <w:tcPr>
            <w:tcW w:type="dxa" w:w="2160"/>
          </w:tcPr>
          <w:p>
            <w:r/>
            <w:r>
              <w:rPr>
                <w:b w:val="0"/>
                <w:sz w:val="19"/>
              </w:rPr>
              <w:t>Kemahasiswaan Unggul IKU #11; Luaran Penelitian &amp; Luaran PkM Unggul (indikator co-author)</w:t>
            </w:r>
          </w:p>
        </w:tc>
        <w:tc>
          <w:tcPr>
            <w:tcW w:type="dxa" w:w="2160"/>
          </w:tcPr>
          <w:p>
            <w:r/>
            <w:r>
              <w:rPr>
                <w:b w:val="0"/>
                <w:sz w:val="19"/>
              </w:rPr>
              <w:t>Kemahasiswaan: jumlah luaran ≥100-110/tahun (angka absolut fakultas); Luaran Penelitian/PkM Unggul: persentase publikasi dosen ber-co-author mahasiswa 75%→80% (basis berbeda: rasio dari total publikasi dosen, bukan luaran mandiri mahasiswa)</w:t>
            </w:r>
          </w:p>
        </w:tc>
        <w:tc>
          <w:tcPr>
            <w:tcW w:type="dxa" w:w="2160"/>
            <w:shd w:val="clear" w:color="auto" w:fill="FFE699"/>
          </w:tcPr>
          <w:p>
            <w:r/>
            <w:r>
              <w:rPr>
                <w:b w:val="0"/>
                <w:sz w:val="19"/>
              </w:rPr>
              <w:t>TERPENUHI SEBAGIAN — dua metrik dgn basis berbeda saling melengkapi tapi belum disatukan/disilang-rujuk secara eksplisit</w:t>
            </w:r>
          </w:p>
        </w:tc>
      </w:tr>
      <w:tr>
        <w:tc>
          <w:tcPr>
            <w:tcW w:type="dxa" w:w="2160"/>
          </w:tcPr>
          <w:p>
            <w:r/>
            <w:r>
              <w:rPr>
                <w:b w:val="0"/>
                <w:sz w:val="19"/>
              </w:rPr>
              <w:t>j. Luaran penelitian &amp; PkM dihasilkan mahasiswa (HKI, produk, buku ber-ISBN — 3 tahun terakhir)</w:t>
            </w:r>
          </w:p>
        </w:tc>
        <w:tc>
          <w:tcPr>
            <w:tcW w:type="dxa" w:w="2160"/>
          </w:tcPr>
          <w:p>
            <w:r/>
            <w:r>
              <w:rPr>
                <w:b w:val="0"/>
                <w:sz w:val="19"/>
              </w:rPr>
              <w:t>Kemahasiswaan Unggul IKU #11</w:t>
            </w:r>
          </w:p>
        </w:tc>
        <w:tc>
          <w:tcPr>
            <w:tcW w:type="dxa" w:w="2160"/>
          </w:tcPr>
          <w:p>
            <w:r/>
            <w:r>
              <w:rPr>
                <w:b w:val="0"/>
                <w:sz w:val="19"/>
              </w:rPr>
              <w:t>Jumlah luaran penelitian dan PkM mahasiswa (publikasi, HKI, TTG, buku) ≥100 (2025/26) → ≥110 (2027/28)</w:t>
            </w:r>
          </w:p>
        </w:tc>
        <w:tc>
          <w:tcPr>
            <w:tcW w:type="dxa" w:w="2160"/>
            <w:shd w:val="clear" w:color="auto" w:fill="C6E0B4"/>
          </w:tcPr>
          <w:p>
            <w:r/>
            <w:r>
              <w:rPr>
                <w:b w:val="0"/>
                <w:sz w:val="19"/>
              </w:rPr>
              <w:t>TERPENUHI — mencakup seluruh jenis luaran yang diminta LED dalam satu indikator gabungan</w:t>
            </w:r>
          </w:p>
        </w:tc>
      </w:tr>
      <w:tr>
        <w:tc>
          <w:tcPr>
            <w:tcW w:type="dxa" w:w="2160"/>
          </w:tcPr>
          <w:p>
            <w:r/>
            <w:r>
              <w:rPr>
                <w:b w:val="0"/>
                <w:sz w:val="19"/>
              </w:rPr>
              <w:t>k. Tracer study (5 aspek)</w:t>
            </w:r>
          </w:p>
        </w:tc>
        <w:tc>
          <w:tcPr>
            <w:tcW w:type="dxa" w:w="2160"/>
          </w:tcPr>
          <w:p>
            <w:r/>
            <w:r>
              <w:rPr>
                <w:b w:val="0"/>
                <w:sz w:val="19"/>
              </w:rPr>
              <w:t>Luaran Pendidikan Unggul, Pernyataan Standar &amp; IKU #20</w:t>
            </w:r>
          </w:p>
        </w:tc>
        <w:tc>
          <w:tcPr>
            <w:tcW w:type="dxa" w:w="2160"/>
          </w:tcPr>
          <w:p>
            <w:r/>
            <w:r>
              <w:rPr>
                <w:b w:val="0"/>
                <w:sz w:val="19"/>
              </w:rPr>
              <w:t>5 aspek eksplisit (koordinasi tingkat PT, reguler tahunan, kuesioner inti DIKTI, populasi TS-2 s.d. TS-1, disosialisasikan &amp; dipakai untuk kurikulum) — rumusan HAMPIR VERBATIM sama dengan LED</w:t>
            </w:r>
          </w:p>
        </w:tc>
        <w:tc>
          <w:tcPr>
            <w:tcW w:type="dxa" w:w="2160"/>
            <w:shd w:val="clear" w:color="auto" w:fill="C6E0B4"/>
          </w:tcPr>
          <w:p>
            <w:r/>
            <w:r>
              <w:rPr>
                <w:b w:val="0"/>
                <w:sz w:val="19"/>
              </w:rPr>
              <w:t>TERPENUHI PENUH</w:t>
            </w:r>
          </w:p>
        </w:tc>
      </w:tr>
      <w:tr>
        <w:tc>
          <w:tcPr>
            <w:tcW w:type="dxa" w:w="2160"/>
          </w:tcPr>
          <w:p>
            <w:r/>
            <w:r>
              <w:rPr>
                <w:b w:val="0"/>
                <w:sz w:val="19"/>
              </w:rPr>
              <w:t>l. Waktu tunggu lulusan (2 tahun, TS-2 s.d. TS-1)</w:t>
            </w:r>
          </w:p>
        </w:tc>
        <w:tc>
          <w:tcPr>
            <w:tcW w:type="dxa" w:w="2160"/>
          </w:tcPr>
          <w:p>
            <w:r/>
            <w:r>
              <w:rPr>
                <w:b w:val="0"/>
                <w:sz w:val="19"/>
              </w:rPr>
              <w:t>Luaran Pendidikan Unggul IKU #9</w:t>
            </w:r>
          </w:p>
        </w:tc>
        <w:tc>
          <w:tcPr>
            <w:tcW w:type="dxa" w:w="2160"/>
          </w:tcPr>
          <w:p>
            <w:r/>
            <w:r>
              <w:rPr>
                <w:b w:val="0"/>
                <w:sz w:val="19"/>
              </w:rPr>
              <w:t>Paling lama 3 bulan sejak dinyatakan lulus, dipertahankan ≤3 pada seluruh tahun target</w:t>
            </w:r>
          </w:p>
        </w:tc>
        <w:tc>
          <w:tcPr>
            <w:tcW w:type="dxa" w:w="2160"/>
            <w:shd w:val="clear" w:color="auto" w:fill="C6E0B4"/>
          </w:tcPr>
          <w:p>
            <w:r/>
            <w:r>
              <w:rPr>
                <w:b w:val="0"/>
                <w:sz w:val="19"/>
              </w:rPr>
              <w:t>TERPENUHI</w:t>
            </w:r>
          </w:p>
        </w:tc>
      </w:tr>
      <w:tr>
        <w:tc>
          <w:tcPr>
            <w:tcW w:type="dxa" w:w="2160"/>
          </w:tcPr>
          <w:p>
            <w:r/>
            <w:r>
              <w:rPr>
                <w:b w:val="0"/>
                <w:sz w:val="19"/>
              </w:rPr>
              <w:t>m. Kesesuaian bidang kerja (2 tahun, TS-2 s.d. TS-1)</w:t>
            </w:r>
          </w:p>
        </w:tc>
        <w:tc>
          <w:tcPr>
            <w:tcW w:type="dxa" w:w="2160"/>
          </w:tcPr>
          <w:p>
            <w:r/>
            <w:r>
              <w:rPr>
                <w:b w:val="0"/>
                <w:sz w:val="19"/>
              </w:rPr>
              <w:t>Luaran Pendidikan Unggul IKU #10</w:t>
            </w:r>
          </w:p>
        </w:tc>
        <w:tc>
          <w:tcPr>
            <w:tcW w:type="dxa" w:w="2160"/>
          </w:tcPr>
          <w:p>
            <w:r/>
            <w:r>
              <w:rPr>
                <w:b w:val="0"/>
                <w:sz w:val="19"/>
              </w:rPr>
              <w:t>≥60% (2025/26) meningkat menuju 65% (2027/28)</w:t>
            </w:r>
          </w:p>
        </w:tc>
        <w:tc>
          <w:tcPr>
            <w:tcW w:type="dxa" w:w="2160"/>
            <w:shd w:val="clear" w:color="auto" w:fill="C6E0B4"/>
          </w:tcPr>
          <w:p>
            <w:r/>
            <w:r>
              <w:rPr>
                <w:b w:val="0"/>
                <w:sz w:val="19"/>
              </w:rPr>
              <w:t>TERPENUHI</w:t>
            </w:r>
          </w:p>
        </w:tc>
      </w:tr>
      <w:tr>
        <w:tc>
          <w:tcPr>
            <w:tcW w:type="dxa" w:w="2160"/>
          </w:tcPr>
          <w:p>
            <w:r/>
            <w:r>
              <w:rPr>
                <w:b w:val="0"/>
                <w:sz w:val="19"/>
              </w:rPr>
              <w:t>n. Tingkat &amp; ukuran tempat kerja lulusan (internasional/nasional/lokal)</w:t>
            </w:r>
          </w:p>
        </w:tc>
        <w:tc>
          <w:tcPr>
            <w:tcW w:type="dxa" w:w="2160"/>
          </w:tcPr>
          <w:p>
            <w:r/>
            <w:r>
              <w:rPr>
                <w:b w:val="0"/>
                <w:sz w:val="19"/>
              </w:rPr>
              <w:t>Luaran Pendidikan Unggul IKU #11-12</w:t>
            </w:r>
          </w:p>
        </w:tc>
        <w:tc>
          <w:tcPr>
            <w:tcW w:type="dxa" w:w="2160"/>
          </w:tcPr>
          <w:p>
            <w:r/>
            <w:r>
              <w:rPr>
                <w:b w:val="0"/>
                <w:sz w:val="19"/>
              </w:rPr>
              <w:t>Internasional/multinasional ≥5%→7%; nasional/berwirausaha berizin ≥20%→25% — HANYA 2 tingkat (tidak ada kategori 'lokal/wilayah' terpisah sebagaimana diminta LED)</w:t>
            </w:r>
          </w:p>
        </w:tc>
        <w:tc>
          <w:tcPr>
            <w:tcW w:type="dxa" w:w="2160"/>
            <w:shd w:val="clear" w:color="auto" w:fill="FFE699"/>
          </w:tcPr>
          <w:p>
            <w:r/>
            <w:r>
              <w:rPr>
                <w:b w:val="0"/>
                <w:sz w:val="19"/>
              </w:rPr>
              <w:t>TERPENUHI SEBAGIAN — kategori 'lokal/wilayah' tidak dipisah dari 'nasional'</w:t>
            </w:r>
          </w:p>
        </w:tc>
      </w:tr>
      <w:tr>
        <w:tc>
          <w:tcPr>
            <w:tcW w:type="dxa" w:w="2160"/>
          </w:tcPr>
          <w:p>
            <w:r/>
            <w:r>
              <w:rPr>
                <w:b w:val="0"/>
                <w:sz w:val="19"/>
              </w:rPr>
              <w:t>o. Kepuasan pengguna lulusan (7 aspek)</w:t>
            </w:r>
          </w:p>
        </w:tc>
        <w:tc>
          <w:tcPr>
            <w:tcW w:type="dxa" w:w="2160"/>
          </w:tcPr>
          <w:p>
            <w:r/>
            <w:r>
              <w:rPr>
                <w:b w:val="0"/>
                <w:sz w:val="19"/>
              </w:rPr>
              <w:t>Luaran Pendidikan Unggul, Pernyataan Standar &amp; IKU #13</w:t>
            </w:r>
          </w:p>
        </w:tc>
        <w:tc>
          <w:tcPr>
            <w:tcW w:type="dxa" w:w="2160"/>
          </w:tcPr>
          <w:p>
            <w:r/>
            <w:r>
              <w:rPr>
                <w:b w:val="0"/>
                <w:sz w:val="19"/>
              </w:rPr>
              <w:t>7 aspek eksplisit (etika, keahlian bidang ilmu, bahasa asing, TI, komunikasi, kerja sama tim, pengembangan diri) — rumusan VERBATIM sama dengan LED; ambang ≥85%→90%</w:t>
            </w:r>
          </w:p>
        </w:tc>
        <w:tc>
          <w:tcPr>
            <w:tcW w:type="dxa" w:w="2160"/>
            <w:shd w:val="clear" w:color="auto" w:fill="C6E0B4"/>
          </w:tcPr>
          <w:p>
            <w:r/>
            <w:r>
              <w:rPr>
                <w:b w:val="0"/>
                <w:sz w:val="19"/>
              </w:rPr>
              <w:t>TERPENUHI PENUH</w:t>
            </w:r>
          </w:p>
        </w:tc>
      </w:tr>
      <w:tr>
        <w:tc>
          <w:tcPr>
            <w:tcW w:type="dxa" w:w="2160"/>
          </w:tcPr>
          <w:p>
            <w:r/>
            <w:r>
              <w:rPr>
                <w:b w:val="0"/>
                <w:sz w:val="19"/>
              </w:rPr>
              <w:t>4. Analisis Faktor Keberhasilan dan Penghambat</w:t>
            </w:r>
          </w:p>
        </w:tc>
        <w:tc>
          <w:tcPr>
            <w:tcW w:type="dxa" w:w="2160"/>
          </w:tcPr>
          <w:p>
            <w:r/>
            <w:r>
              <w:rPr>
                <w:b w:val="0"/>
                <w:sz w:val="19"/>
              </w:rPr>
              <w:t>—</w:t>
            </w:r>
          </w:p>
        </w:tc>
        <w:tc>
          <w:tcPr>
            <w:tcW w:type="dxa" w:w="2160"/>
          </w:tcPr>
          <w:p>
            <w:r/>
            <w:r>
              <w:rPr>
                <w:b w:val="0"/>
                <w:sz w:val="19"/>
              </w:rPr>
              <w:t>Tidak ditemukan kewajiban eksplisit menyusun dokumen 'Analisis Faktor Keberhasilan dan Penghambat' pada ketiga keluarga standar (existing maupun Unggul)</w:t>
            </w:r>
          </w:p>
        </w:tc>
        <w:tc>
          <w:tcPr>
            <w:tcW w:type="dxa" w:w="2160"/>
            <w:shd w:val="clear" w:color="auto" w:fill="F8CBAD"/>
          </w:tcPr>
          <w:p>
            <w:r/>
            <w:r>
              <w:rPr>
                <w:b w:val="0"/>
                <w:sz w:val="19"/>
              </w:rPr>
              <w:t>BELUM TERPENUHI — konsisten dengan pola gap sistemik pada C.1-C.5</w:t>
            </w:r>
          </w:p>
        </w:tc>
      </w:tr>
      <w:tr>
        <w:tc>
          <w:tcPr>
            <w:tcW w:type="dxa" w:w="2160"/>
          </w:tcPr>
          <w:p>
            <w:r/>
            <w:r>
              <w:rPr>
                <w:b w:val="0"/>
                <w:sz w:val="19"/>
              </w:rPr>
              <w:t>5. Strategi Perbaikan (SWOT)</w:t>
            </w:r>
          </w:p>
        </w:tc>
        <w:tc>
          <w:tcPr>
            <w:tcW w:type="dxa" w:w="2160"/>
          </w:tcPr>
          <w:p>
            <w:r/>
            <w:r>
              <w:rPr>
                <w:b w:val="0"/>
                <w:sz w:val="19"/>
              </w:rPr>
              <w:t>—</w:t>
            </w:r>
          </w:p>
        </w:tc>
        <w:tc>
          <w:tcPr>
            <w:tcW w:type="dxa" w:w="2160"/>
          </w:tcPr>
          <w:p>
            <w:r/>
            <w:r>
              <w:rPr>
                <w:b w:val="0"/>
                <w:sz w:val="19"/>
              </w:rPr>
              <w:t>Tidak ditemukan ketentuan SWOT pada Kemahasiswaan, Luaran Pendidikan, Luaran Penelitian, maupun Luaran PkM</w:t>
            </w:r>
          </w:p>
        </w:tc>
        <w:tc>
          <w:tcPr>
            <w:tcW w:type="dxa" w:w="2160"/>
            <w:shd w:val="clear" w:color="auto" w:fill="F8CBAD"/>
          </w:tcPr>
          <w:p>
            <w:r/>
            <w:r>
              <w:rPr>
                <w:b w:val="0"/>
                <w:sz w:val="19"/>
              </w:rPr>
              <w:t>BELUM TERPENUHI — konsisten dengan pola gap sistemik pada C.1-C.5</w:t>
            </w:r>
          </w:p>
        </w:tc>
      </w:tr>
    </w:tbl>
    <w:p/>
    <w:p>
      <w:pPr>
        <w:spacing w:before="280" w:after="120"/>
      </w:pPr>
      <w:r>
        <w:rPr>
          <w:b/>
          <w:sz w:val="26"/>
        </w:rPr>
        <w:t>B. PEMBAHASAN DETAIL</w:t>
      </w:r>
    </w:p>
    <w:p>
      <w:pPr>
        <w:spacing w:after="120"/>
      </w:pPr>
      <w:r>
        <w:rPr>
          <w:b/>
          <w:i w:val="0"/>
        </w:rPr>
        <w:t>a. Rasio Mahasiswa terhadap DTPS</w:t>
      </w:r>
    </w:p>
    <w:p>
      <w:pPr>
        <w:spacing w:after="120"/>
      </w:pPr>
      <w:r>
        <w:rPr>
          <w:b w:val="0"/>
          <w:i w:val="0"/>
        </w:rPr>
        <w:t>LED meminta penjelasan rasio jumlah mahasiswa terhadap jumlah DTPS. FTII tidak mengatur ini pada standar Kemahasiswaan maupun Luaran, melainkan pada Standar Masukan Pendidikan Unggul (bagian B. Dosen dan Tenaga Kependidikan): 'FTII wajib menjaga rasio dosen tetap program studi terhadap mahasiswa pada rentang ideal 1:20 sampai dengan 1:25, sesuai ambang skor sempurna LAM Teknik (rasio mahasiswa:dosen 15-25) dan ambang rumpun sains-teknologi LAM INFOKOM (maksimal 1:23-1:25)'. Substansinya identik dengan permintaan LED C.6, hanya dirumuskan dari sudut pandang kecukupan dosen, bukan sudut pandang mahasiswa. TERPENUHI, dengan catatan penyusun LED perlu merujuk silang ke Standar Masukan Pendidikan saat menulis narasi C.6 poin a.</w:t>
      </w:r>
    </w:p>
    <w:p>
      <w:pPr>
        <w:spacing w:after="120"/>
      </w:pPr>
      <w:r>
        <w:rPr>
          <w:b/>
          <w:i w:val="0"/>
        </w:rPr>
        <w:t>b. Persentase Mahasiswa Asing</w:t>
      </w:r>
    </w:p>
    <w:p>
      <w:pPr>
        <w:spacing w:after="120"/>
      </w:pPr>
      <w:r>
        <w:rPr>
          <w:b w:val="0"/>
          <w:i w:val="0"/>
        </w:rPr>
        <w:t>Draf existing Standar Kemahasiswaan TIDAK memuat indikator ini sama sekali. Draf Unggul menutup gap ini dengan IKU #10: target ≥0,5% pada 2025/26, naik ≥1% pada 2026/27, dan ≥1,5% pada 2027/28 — sudah memenuhi ambang skor 4 LAM Teknik (≥1%) pada tahun kedua penerapan standar.</w:t>
      </w:r>
    </w:p>
    <w:p>
      <w:pPr>
        <w:spacing w:after="120"/>
      </w:pPr>
      <w:r>
        <w:rPr>
          <w:b/>
          <w:i w:val="0"/>
        </w:rPr>
        <w:t>d. Prestasi Mahasiswa Akademik dan Non-Akademik</w:t>
      </w:r>
    </w:p>
    <w:p>
      <w:pPr>
        <w:spacing w:after="120"/>
      </w:pPr>
      <w:r>
        <w:rPr>
          <w:b w:val="0"/>
          <w:i w:val="0"/>
        </w:rPr>
        <w:t>LED meminta data 5 TAHUN TERAKHIR. Namun kedua standar FTII yang memuat indikator ini menggunakan jendela waktu berbeda: Kemahasiswaan Unggul memakai basis '3 (tiga) tahun terakhir per program studi' (IKU #7-8: ≥4-5 prestasi akademik, ≥8-10 non-akademik), sedangkan Luaran Pendidikan Unggul memakai basis rasio tahunan terhadap populasi mahasiswa (IKU #14-17: 0,2-0,3% internasional, 2-3% nasional). Baik jendela waktu (3 tahun vs tahunan) maupun basis pengukuran (jumlah absolut per prodi vs rasio populasi) berbeda dari permintaan LED (5 tahun). REKOMENDASI: sinkronkan jendela waktu pelaporan prestasi mahasiswa menjadi 5 tahun terakhir mengikuti LED saat menyusun narasi maupun saat merevisi kedua standar, agar data yang dikumpulkan sejak awal sudah sesuai format akreditasi.</w:t>
      </w:r>
    </w:p>
    <w:p>
      <w:pPr>
        <w:spacing w:after="120"/>
      </w:pPr>
      <w:r>
        <w:rPr>
          <w:b/>
          <w:i w:val="0"/>
        </w:rPr>
        <w:t>e. Produk/Jasa Karya Mahasiswa yang Diadopsi Industri/Masyarakat</w:t>
      </w:r>
    </w:p>
    <w:p>
      <w:pPr>
        <w:spacing w:after="120"/>
      </w:pPr>
      <w:r>
        <w:rPr>
          <w:b w:val="0"/>
          <w:i w:val="0"/>
        </w:rPr>
        <w:t>Tidak ditemukan padanan pada keempat standar (Kemahasiswaan, Luaran Pendidikan, Luaran Penelitian, Luaran PkM), baik versi existing maupun Unggul. Ini BERBEDA dari indikator serupa pada Kriteria C.4 (SDM) yang memiliki 'produk/jasa dosen yang diadopsi industri' sebagai gap yang sama — menunjukkan pola gap yang konsisten pada seluruh dimensi 'adopsi oleh industri/masyarakat', baik untuk dosen maupun mahasiswa. GAP PALING SIGNIFIKAN pada Kriteria C.6.</w:t>
      </w:r>
    </w:p>
    <w:p>
      <w:pPr>
        <w:spacing w:after="120"/>
      </w:pPr>
      <w:r>
        <w:rPr>
          <w:b/>
          <w:i w:val="0"/>
        </w:rPr>
        <w:t>i-j. Publikasi Ilmiah dan Luaran Penelitian/PkM Mahasiswa</w:t>
      </w:r>
    </w:p>
    <w:p>
      <w:pPr>
        <w:spacing w:after="120"/>
      </w:pPr>
      <w:r>
        <w:rPr>
          <w:b w:val="0"/>
          <w:i w:val="0"/>
        </w:rPr>
        <w:t>LED memisahkan 'publikasi ilmiah mahasiswa' (poin i) dari 'luaran penelitian dan PkM yang dihasilkan mahasiswa berupa HKI/produk/buku' (poin j). FTII memiliki DUA metrik dengan basis berbeda yang bersama-sama menutupi kedua poin ini: (1) Kemahasiswaan Unggul IKU #11 'Jumlah luaran penelitian dan PkM mahasiswa (publikasi, HKI, TTG, buku) per tahun' — angka absolut gabungan tingkat fakultas (≥100→110), menutupi poin j secara langsung dan sebagian poin i; (2) Luaran Penelitian dan Luaran PkM Unggul memiliki indikator 'persentase publikasi ilmiah bersama mahasiswa (co-author)' (75%→80%) — ini mengukur keterlibatan mahasiswa DALAM publikasi DOSEN, bukan publikasi mandiri mahasiswa, sehingga hanya sebagian menutupi poin i. Kedua metrik belum disilang-rujuk secara eksplisit satu sama lain dalam dokumen manapun, meski keduanya relevan dan saling melengkapi.</w:t>
      </w:r>
    </w:p>
    <w:p>
      <w:pPr>
        <w:spacing w:after="120"/>
      </w:pPr>
      <w:r>
        <w:rPr>
          <w:b/>
          <w:i w:val="0"/>
        </w:rPr>
        <w:t>n. Tingkat dan Ukuran Tempat Kerja Lulusan</w:t>
      </w:r>
    </w:p>
    <w:p>
      <w:pPr>
        <w:spacing w:after="120"/>
      </w:pPr>
      <w:r>
        <w:rPr>
          <w:b w:val="0"/>
          <w:i w:val="0"/>
        </w:rPr>
        <w:t>LED meminta data pada TIGA tingkat: internasional, nasional, dan lokal. Luaran Pendidikan Unggul IKU #11-12 hanya memuat DUA tingkat: 'lulusan bekerja tingkat internasional/multinasional' (≥5%→7%) dan 'lulusan bekerja tingkat nasional atau berwirausaha berizin' (≥20%→25%) — tidak ada kategori 'lokal/wilayah' yang dipisah dari 'nasional'. Pola ini konsisten dengan temuan pada pemetaan Standar Luaran Pendidikan terhadap 5 dokumen rujukan sebelumnya (Tema 9), yang mencatat FTII 'menggabungkan kategori nasional+internasional' — di sini ditemukan sekali lagi bahwa kategori 'lokal' tidak dipisah.</w:t>
      </w:r>
    </w:p>
    <w:p>
      <w:pPr>
        <w:spacing w:after="120"/>
      </w:pPr>
      <w:r>
        <w:rPr>
          <w:b/>
          <w:i w:val="0"/>
        </w:rPr>
        <w:t>k, o. Tracer Study dan Kepuasan Pengguna Lulusan</w:t>
      </w:r>
    </w:p>
    <w:p>
      <w:pPr>
        <w:spacing w:after="120"/>
      </w:pPr>
      <w:r>
        <w:rPr>
          <w:b w:val="0"/>
          <w:i w:val="0"/>
        </w:rPr>
        <w:t>Kedua elemen ini adalah yang PALING KUAT dipenuhi pada seluruh Kriteria C.6 — rumusan pada Standar Luaran Pendidikan Unggul hampir sama persis kata demi kata dengan rumusan LED (5 aspek tracer study; 7 aspek kepuasan pengguna lulusan), menunjukkan standar ini memang disusun dengan merujuk langsung pada kriteria LAM Teknik/LED.</w:t>
      </w:r>
    </w:p>
    <w:p>
      <w:pPr>
        <w:spacing w:after="120"/>
      </w:pPr>
      <w:r>
        <w:rPr>
          <w:b/>
          <w:i w:val="0"/>
        </w:rPr>
        <w:t>4-5. Analisis Faktor Keberhasilan/Penghambat dan Strategi SWOT</w:t>
      </w:r>
    </w:p>
    <w:p>
      <w:pPr>
        <w:spacing w:after="120"/>
      </w:pPr>
      <w:r>
        <w:rPr>
          <w:b w:val="0"/>
          <w:i w:val="0"/>
        </w:rPr>
        <w:t>Sebagaimana ditemukan konsisten pada Kriteria C.1 hingga C.5, tidak satu pun dari keempat standar terkait C.6 mewajibkan output 'Analisis Faktor Keberhasilan dan Penghambat' maupun siklus evaluasi SWOT tahunan. Ini menegaskan bahwa gap tersebut bersifat SISTEMIK di seluruh SPMI FTII, bukan spesifik pada satu standar, dan sebaiknya diselesaikan di level kebijakan PPEPP Universitas.</w:t>
      </w:r>
    </w:p>
    <w:p>
      <w:pPr>
        <w:spacing w:before="280" w:after="120"/>
      </w:pPr>
      <w:r>
        <w:rPr>
          <w:b/>
          <w:sz w:val="26"/>
        </w:rPr>
        <w:t>C. KESIMPULAN DAN REKOMENDASI</w:t>
      </w:r>
    </w:p>
    <w:p>
      <w:pPr>
        <w:spacing w:after="120"/>
      </w:pPr>
      <w:r>
        <w:rPr>
          <w:b w:val="0"/>
          <w:i w:val="0"/>
        </w:rPr>
        <w:t>Kriteria C.6 adalah kriteria dengan cakupan terluas dan tersebar pada tiga keluarga standar FTII yang disusun secara terpisah (Kemahasiswaan, Luaran Pendidikan, Luaran Penelitian/PkM). Secara keseluruhan, 13 dari 15 sub-elemen yang dinilai (di luar poin h yang tidak relevan untuk FTII) TERPENUHI atau TERPENUHI SEBAGIAN, dengan capaian terkuat pada tracer study dan kepuasan pengguna lulusan (rumusan nyaris identik dengan LED). Ditemukan 1 gap signifikan (produk/jasa mahasiswa diadopsi industri) dan beberapa inkonsistensi basis pengukuran/jendela waktu antar-standar yang perlu diselaraskan.</w:t>
      </w:r>
    </w:p>
    <w:p>
      <w:pPr>
        <w:pStyle w:val="ListNumber"/>
        <w:spacing w:after="120"/>
      </w:pPr>
      <w:r>
        <w:t>Tambahkan indikator baru 'jumlah/persentase produk atau jasa karya mahasiswa yang diadopsi oleh industri atau masyarakat dalam 3 tahun terakhir' pada Standar Kemahasiswaan atau Standar Luaran Pendidikan — ini adalah kekosongan indikator paling signifikan pada Kriteria C.6, sejalan dengan gap serupa yang ditemukan pada Kriteria C.4 untuk dosen.</w:t>
      </w:r>
    </w:p>
    <w:p>
      <w:pPr>
        <w:pStyle w:val="ListNumber"/>
        <w:spacing w:after="120"/>
      </w:pPr>
      <w:r>
        <w:t>Sinkronkan jendela waktu pelaporan prestasi mahasiswa akademik/non-akademik dari '3 tahun terakhir per program studi' (Kemahasiswaan Unggul) menjadi selaras dengan permintaan LED '5 tahun terakhir', tanpa harus mengubah ambang target, cukup memperpanjang periode akumulasi data pelaporan.</w:t>
      </w:r>
    </w:p>
    <w:p>
      <w:pPr>
        <w:pStyle w:val="ListNumber"/>
        <w:spacing w:after="120"/>
      </w:pPr>
      <w:r>
        <w:t>Pisahkan indikator 'tingkat dan ukuran tempat kerja lulusan' menjadi TIGA kategori eksplisit (internasional, nasional, lokal/wilayah) pada Standar Luaran Pendidikan, alih-alih dua kategori saat ini (internasional, nasional/wirausaha), agar sepenuhnya sebanding dengan permintaan LED dan instrumen LAM Teknik.</w:t>
      </w:r>
    </w:p>
    <w:p>
      <w:pPr>
        <w:pStyle w:val="ListNumber"/>
        <w:spacing w:after="120"/>
      </w:pPr>
      <w:r>
        <w:t>Tambahkan catatan silang-rujuk eksplisit antara IKU #11 Kemahasiswaan Unggul ('jumlah luaran penelitian/PkM mahasiswa') dan indikator 'persentase publikasi ber-co-author mahasiswa' pada Standar Luaran Penelitian/PkM Unggul, agar penyusun LED memahami kedua metrik saling melengkapi (basis absolut vs basis rasio keterlibatan) dan tidak keliru menganggap salah satunya duplikat.</w:t>
      </w:r>
    </w:p>
    <w:p>
      <w:pPr>
        <w:pStyle w:val="ListNumber"/>
        <w:spacing w:after="120"/>
      </w:pPr>
      <w:r>
        <w:t>Tambahkan pernyataan standar dan mekanisme yang mewajibkan penyusunan 'Analisis Faktor Keberhasilan dan Penghambat' serta siklus evaluasi SWOT tahunan secara eksplisit — sebagai perbaikan lintas-standar di level kebijakan PPEPP Universitas, mengingat gap ini telah konsisten ditemukan pada seluruh kriteria C.1 hingga C.6 yang telah dipetakan.</w:t>
      </w:r>
    </w:p>
    <w:p>
      <w:pPr>
        <w:pStyle w:val="ListNumber"/>
        <w:spacing w:after="120"/>
      </w:pPr>
      <w:r>
        <w:t>Saat menyusun narasi LED Kriteria C.6 poin a (rasio mahasiswa:DTPS), rujuk secara eksplisit ke Standar Masukan Pendidikan Unggul bagian B, karena indikator ini tidak berada pada standar Kemahasiswaan atau Luaran sebagaimana lazimnya elemen C.6 lainnya.</w:t>
      </w:r>
    </w:p>
    <w:p/>
    <w:p>
      <w:pPr>
        <w:jc w:val="right"/>
      </w:pPr>
      <w:r>
        <w:rPr>
          <w:i/>
        </w:rPr>
        <w:t>Disusun di Semarang pada tanggal 1 Agustus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