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PEMETAAN KEPATUHAN STANDAR PENDIDIKAN, PENELITIAN, DAN PKM FTII</w:t>
      </w:r>
    </w:p>
    <w:p>
      <w:pPr>
        <w:jc w:val="center"/>
      </w:pPr>
      <w:r>
        <w:rPr>
          <w:b/>
          <w:sz w:val="26"/>
        </w:rPr>
        <w:t>terhadap Kriteria C.3 Relevansi Pendidikan, Penelitian, dan PkM</w:t>
      </w:r>
    </w:p>
    <w:p>
      <w:pPr>
        <w:jc w:val="center"/>
      </w:pPr>
      <w:r>
        <w:rPr>
          <w:b w:val="0"/>
          <w:sz w:val="22"/>
        </w:rPr>
        <w:t>Pedoman Penyusunan Laporan Evaluasi Diri Program Studi (LEDPS) — Lampiran 2 Peraturan LAM Teknik Nomor 5 Tahun 2025</w:t>
      </w:r>
    </w:p>
    <w:p/>
    <w:p>
      <w:pPr>
        <w:spacing w:after="120"/>
      </w:pPr>
      <w:r>
        <w:rPr>
          <w:b w:val="0"/>
          <w:i w:val="0"/>
        </w:rPr>
        <w:t>Catatan metodologis: Berbeda dengan Kriteria C.1 (Visi Misi) dan C.2 (Tata Kelola &amp; Kerjasama) yang masing-masing memiliki satu standar FTII "fix_OKE" tunggal, Kriteria C.3 dipetakan terhadap ENAM dokumen draf standar FTII granular per unsur Masukan dan Proses tridharma: Standar Masukan Pendidikan, Standar Proses Pendidikan, Standar Masukan Penelitian, Standar Proses Penelitian, Standar Masukan PkM, dan Standar Proses PkM (seluruhnya berkas "Ricek..."). Dokumen "Luaran" (Luaran Pendidikan, Luaran Penelitian, Luaran PKM) SENGAJA TIDAK DIPAKAI karena substansinya (capaian pembelajaran, publikasi, HKI) termasuk cakupan Kriteria C.4 (SDM) dan C.6 (Mahasiswa dan Luaran Mahasiswa) pada Pedoman LEDPS, bukan C.3. Seluruh kutipan diverifikasi dari teks lengkap keenam dokumen (dibaca penuh via python-docx, termasuk paragraf antar-tabel section header). Catatan: dokumen berkas "proses pkm" memiliki judul resmi "STANDAR PROSES PENGABDIAN KEPADA MASYARAKAT", namun bagian internal Acuan/Rasional-nya keliru berlabel "Luaran" — ini kemungkinan kesalahan copy-paste pada dokumen sumber FTII sendiri; substansi isinya (review proposal, kontrak, monev, AMI) tetap konsisten dengan Proses PkM sehingga tetap dipakai untuk cakupan ini.</w:t>
      </w:r>
    </w:p>
    <w:p>
      <w:pPr>
        <w:spacing w:before="280" w:after="120"/>
      </w:pPr>
      <w:r>
        <w:rPr>
          <w:b/>
          <w:sz w:val="26"/>
        </w:rPr>
        <w:t>A. RINGKASAN STATUS KEPATUHAN</w:t>
      </w:r>
    </w:p>
    <w:p>
      <w:pPr>
        <w:spacing w:before="200" w:after="80"/>
      </w:pPr>
      <w:r>
        <w:rPr>
          <w:b/>
          <w:sz w:val="23"/>
        </w:rPr>
        <w:t>a) Pendidikan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D9D9"/>
          </w:tcPr>
          <w:p>
            <w:r/>
            <w:r>
              <w:rPr>
                <w:b/>
                <w:sz w:val="18"/>
              </w:rPr>
              <w:t>Sub-Elemen C.3 (Pendidikan)</w:t>
            </w:r>
          </w:p>
        </w:tc>
        <w:tc>
          <w:tcPr>
            <w:tcW w:type="dxa" w:w="2160"/>
            <w:shd w:val="clear" w:color="auto" w:fill="D9D9D9"/>
          </w:tcPr>
          <w:p>
            <w:r/>
            <w:r>
              <w:rPr>
                <w:b/>
                <w:sz w:val="18"/>
              </w:rPr>
              <w:t>Dokumen Sumber FTII</w:t>
            </w:r>
          </w:p>
        </w:tc>
        <w:tc>
          <w:tcPr>
            <w:tcW w:type="dxa" w:w="2160"/>
            <w:shd w:val="clear" w:color="auto" w:fill="D9D9D9"/>
          </w:tcPr>
          <w:p>
            <w:r/>
            <w:r>
              <w:rPr>
                <w:b/>
                <w:sz w:val="18"/>
              </w:rPr>
              <w:t>Ketentuan yang Ditemukan (ringkas)</w:t>
            </w:r>
          </w:p>
        </w:tc>
        <w:tc>
          <w:tcPr>
            <w:tcW w:type="dxa" w:w="2160"/>
            <w:shd w:val="clear" w:color="auto" w:fill="D9D9D9"/>
          </w:tcPr>
          <w:p>
            <w:r/>
            <w:r>
              <w:rPr>
                <w:b/>
                <w:sz w:val="18"/>
              </w:rPr>
              <w:t>Status</w:t>
            </w:r>
          </w:p>
        </w:tc>
      </w:tr>
      <w:tr>
        <w:tc>
          <w:tcPr>
            <w:tcW w:type="dxa" w:w="2160"/>
          </w:tcPr>
          <w:p>
            <w:r/>
            <w:r>
              <w:rPr>
                <w:b w:val="0"/>
                <w:sz w:val="18"/>
              </w:rPr>
              <w:t>a.i Pemutakhiran kurikulum (pelibatan stakeholder internal/eksternal, review pakar)</w:t>
            </w:r>
          </w:p>
        </w:tc>
        <w:tc>
          <w:tcPr>
            <w:tcW w:type="dxa" w:w="2160"/>
          </w:tcPr>
          <w:p>
            <w:r/>
            <w:r>
              <w:rPr>
                <w:b w:val="0"/>
                <w:sz w:val="18"/>
              </w:rPr>
              <w:t>Masukan &amp; Proses Pendidikan</w:t>
            </w:r>
          </w:p>
        </w:tc>
        <w:tc>
          <w:tcPr>
            <w:tcW w:type="dxa" w:w="2160"/>
          </w:tcPr>
          <w:p>
            <w:r/>
            <w:r>
              <w:rPr>
                <w:b w:val="0"/>
                <w:sz w:val="18"/>
              </w:rPr>
              <w:t>Peninjauan kurikulum berkala melibatkan dosen, mahasiswa, alumni, pengguna lulusan, asosiasi profesi, pakar, DUDIKA; IKU 'Dokumen Kurikulum direview prodi sejenis/pakar'</w:t>
            </w:r>
          </w:p>
        </w:tc>
        <w:tc>
          <w:tcPr>
            <w:tcW w:type="dxa" w:w="2160"/>
            <w:shd w:val="clear" w:color="auto" w:fill="C6E0B4"/>
          </w:tcPr>
          <w:p>
            <w:r/>
            <w:r>
              <w:rPr>
                <w:b w:val="0"/>
                <w:sz w:val="18"/>
              </w:rPr>
              <w:t>TERPENUHI PENUH</w:t>
            </w:r>
          </w:p>
        </w:tc>
      </w:tr>
      <w:tr>
        <w:tc>
          <w:tcPr>
            <w:tcW w:type="dxa" w:w="2160"/>
          </w:tcPr>
          <w:p>
            <w:r/>
            <w:r>
              <w:rPr>
                <w:b w:val="0"/>
                <w:sz w:val="18"/>
              </w:rPr>
              <w:t>a.ii Profil lulusan (visi UPPS/prodi, kebutuhan pengguna, sumber daya, kepentingan lokal/nasional/global) + Kesesuaian dengan CPL</w:t>
            </w:r>
          </w:p>
        </w:tc>
        <w:tc>
          <w:tcPr>
            <w:tcW w:type="dxa" w:w="2160"/>
          </w:tcPr>
          <w:p>
            <w:r/>
            <w:r>
              <w:rPr>
                <w:b w:val="0"/>
                <w:sz w:val="18"/>
              </w:rPr>
              <w:t>-</w:t>
            </w:r>
          </w:p>
        </w:tc>
        <w:tc>
          <w:tcPr>
            <w:tcW w:type="dxa" w:w="2160"/>
          </w:tcPr>
          <w:p>
            <w:r/>
            <w:r>
              <w:rPr>
                <w:b w:val="0"/>
                <w:sz w:val="18"/>
              </w:rPr>
              <w:t>TIDAK DITEMUKAN pada Masukan/Proses Pendidikan (cakupan ini ada pada Standar Luaran Pendidikan/Kompetensi Lulusan yang DIKECUALIKAN dari C.3)</w:t>
            </w:r>
          </w:p>
        </w:tc>
        <w:tc>
          <w:tcPr>
            <w:tcW w:type="dxa" w:w="2160"/>
            <w:shd w:val="clear" w:color="auto" w:fill="F8CBAD"/>
          </w:tcPr>
          <w:p>
            <w:r/>
            <w:r>
              <w:rPr>
                <w:b w:val="0"/>
                <w:sz w:val="18"/>
              </w:rPr>
              <w:t>TIDAK DITEMUKAN dalam cakupan C.3</w:t>
            </w:r>
          </w:p>
        </w:tc>
      </w:tr>
      <w:tr>
        <w:tc>
          <w:tcPr>
            <w:tcW w:type="dxa" w:w="2160"/>
          </w:tcPr>
          <w:p>
            <w:r/>
            <w:r>
              <w:rPr>
                <w:b w:val="0"/>
                <w:sz w:val="18"/>
              </w:rPr>
              <w:t>a.iii Kesesuaian CPL dengan standar kompetensi lulusan (4 unsur) + tinjauan rutin CPL</w:t>
            </w:r>
          </w:p>
        </w:tc>
        <w:tc>
          <w:tcPr>
            <w:tcW w:type="dxa" w:w="2160"/>
          </w:tcPr>
          <w:p>
            <w:r/>
            <w:r>
              <w:rPr>
                <w:b w:val="0"/>
                <w:sz w:val="18"/>
              </w:rPr>
              <w:t>-</w:t>
            </w:r>
          </w:p>
        </w:tc>
        <w:tc>
          <w:tcPr>
            <w:tcW w:type="dxa" w:w="2160"/>
          </w:tcPr>
          <w:p>
            <w:r/>
            <w:r>
              <w:rPr>
                <w:b w:val="0"/>
                <w:sz w:val="18"/>
              </w:rPr>
              <w:t>TIDAK DITEMUKAN pada Masukan/Proses Pendidikan (cakupan ini ada pada Standar Luaran Pendidikan/Kompetensi Lulusan yang DIKECUALIKAN dari C.3)</w:t>
            </w:r>
          </w:p>
        </w:tc>
        <w:tc>
          <w:tcPr>
            <w:tcW w:type="dxa" w:w="2160"/>
            <w:shd w:val="clear" w:color="auto" w:fill="F8CBAD"/>
          </w:tcPr>
          <w:p>
            <w:r/>
            <w:r>
              <w:rPr>
                <w:b w:val="0"/>
                <w:sz w:val="18"/>
              </w:rPr>
              <w:t>TIDAK DITEMUKAN dalam cakupan C.3</w:t>
            </w:r>
          </w:p>
        </w:tc>
      </w:tr>
      <w:tr>
        <w:tc>
          <w:tcPr>
            <w:tcW w:type="dxa" w:w="2160"/>
          </w:tcPr>
          <w:p>
            <w:r/>
            <w:r>
              <w:rPr>
                <w:b w:val="0"/>
                <w:sz w:val="18"/>
              </w:rPr>
              <w:t>a.iv Kualitas input mahasiswa: rekrutmen/kriteria/seleksi (khusus program pascasarjana)</w:t>
            </w:r>
          </w:p>
        </w:tc>
        <w:tc>
          <w:tcPr>
            <w:tcW w:type="dxa" w:w="2160"/>
          </w:tcPr>
          <w:p>
            <w:r/>
            <w:r>
              <w:rPr>
                <w:b w:val="0"/>
                <w:sz w:val="18"/>
              </w:rPr>
              <w:t>Proses Pendidikan</w:t>
            </w:r>
          </w:p>
        </w:tc>
        <w:tc>
          <w:tcPr>
            <w:tcW w:type="dxa" w:w="2160"/>
          </w:tcPr>
          <w:p>
            <w:r/>
            <w:r>
              <w:rPr>
                <w:b w:val="0"/>
                <w:sz w:val="18"/>
              </w:rPr>
              <w:t>Hanya jalur RPL yang diatur eksplisit; mekanisme rekrutmen &amp; seleksi mahasiswa baru program Magister TIDAK ditemukan</w:t>
            </w:r>
          </w:p>
        </w:tc>
        <w:tc>
          <w:tcPr>
            <w:tcW w:type="dxa" w:w="2160"/>
            <w:shd w:val="clear" w:color="auto" w:fill="F8CBAD"/>
          </w:tcPr>
          <w:p>
            <w:r/>
            <w:r>
              <w:rPr>
                <w:b w:val="0"/>
                <w:sz w:val="18"/>
              </w:rPr>
              <w:t>BELUM TERPENUHI</w:t>
            </w:r>
          </w:p>
        </w:tc>
      </w:tr>
      <w:tr>
        <w:tc>
          <w:tcPr>
            <w:tcW w:type="dxa" w:w="2160"/>
          </w:tcPr>
          <w:p>
            <w:r/>
            <w:r>
              <w:rPr>
                <w:b w:val="0"/>
                <w:sz w:val="18"/>
              </w:rPr>
              <w:t>a.v RPS: ketersediaan &amp; kelengkapan (9 komponen), akses, tinjauan rutin</w:t>
            </w:r>
          </w:p>
        </w:tc>
        <w:tc>
          <w:tcPr>
            <w:tcW w:type="dxa" w:w="2160"/>
          </w:tcPr>
          <w:p>
            <w:r/>
            <w:r>
              <w:rPr>
                <w:b w:val="0"/>
                <w:sz w:val="18"/>
              </w:rPr>
              <w:t>Proses Pendidikan</w:t>
            </w:r>
          </w:p>
        </w:tc>
        <w:tc>
          <w:tcPr>
            <w:tcW w:type="dxa" w:w="2160"/>
          </w:tcPr>
          <w:p>
            <w:r/>
            <w:r>
              <w:rPr>
                <w:b w:val="0"/>
                <w:sz w:val="18"/>
              </w:rPr>
              <w:t>RPS wajib tersedia &amp; terdigitalisasi tiap mata kuliah, ditinjau berkala; namun jumlah komponen RPS pada Definisi Istilah tidak eksplisit disebut '9 komponen' sesuai istilah LED</w:t>
            </w:r>
          </w:p>
        </w:tc>
        <w:tc>
          <w:tcPr>
            <w:tcW w:type="dxa" w:w="2160"/>
            <w:shd w:val="clear" w:color="auto" w:fill="FFE699"/>
          </w:tcPr>
          <w:p>
            <w:r/>
            <w:r>
              <w:rPr>
                <w:b w:val="0"/>
                <w:sz w:val="18"/>
              </w:rPr>
              <w:t>TERPENUHI SEBAGIAN</w:t>
            </w:r>
          </w:p>
        </w:tc>
      </w:tr>
      <w:tr>
        <w:tc>
          <w:tcPr>
            <w:tcW w:type="dxa" w:w="2160"/>
          </w:tcPr>
          <w:p>
            <w:r/>
            <w:r>
              <w:rPr>
                <w:b w:val="0"/>
                <w:sz w:val="18"/>
              </w:rPr>
              <w:t>a.vi Proses pembelajaran (metode, media, interaksi dosen-mahasiswa, daya analisis kritis + tinjauan rutin)</w:t>
            </w:r>
          </w:p>
        </w:tc>
        <w:tc>
          <w:tcPr>
            <w:tcW w:type="dxa" w:w="2160"/>
          </w:tcPr>
          <w:p>
            <w:r/>
            <w:r>
              <w:rPr>
                <w:b w:val="0"/>
                <w:sz w:val="18"/>
              </w:rPr>
              <w:t>Proses Pendidikan</w:t>
            </w:r>
          </w:p>
        </w:tc>
        <w:tc>
          <w:tcPr>
            <w:tcW w:type="dxa" w:w="2160"/>
          </w:tcPr>
          <w:p>
            <w:r/>
            <w:r>
              <w:rPr>
                <w:b w:val="0"/>
                <w:sz w:val="18"/>
              </w:rPr>
              <w:t>Pedoman metode/media/penilaian pembelajaran interaktif-partisipatif-kolaboratif-berpusat mahasiswa; monev pembelajaran ≥2x/semester</w:t>
            </w:r>
          </w:p>
        </w:tc>
        <w:tc>
          <w:tcPr>
            <w:tcW w:type="dxa" w:w="2160"/>
            <w:shd w:val="clear" w:color="auto" w:fill="C6E0B4"/>
          </w:tcPr>
          <w:p>
            <w:r/>
            <w:r>
              <w:rPr>
                <w:b w:val="0"/>
                <w:sz w:val="18"/>
              </w:rPr>
              <w:t>TERPENUHI PENUH</w:t>
            </w:r>
          </w:p>
        </w:tc>
      </w:tr>
      <w:tr>
        <w:tc>
          <w:tcPr>
            <w:tcW w:type="dxa" w:w="2160"/>
          </w:tcPr>
          <w:p>
            <w:r/>
            <w:r>
              <w:rPr>
                <w:b w:val="0"/>
                <w:sz w:val="18"/>
              </w:rPr>
              <w:t>a.vii Integrasi penelitian &amp; PkM dalam pembelajaran</w:t>
            </w:r>
          </w:p>
        </w:tc>
        <w:tc>
          <w:tcPr>
            <w:tcW w:type="dxa" w:w="2160"/>
          </w:tcPr>
          <w:p>
            <w:r/>
            <w:r>
              <w:rPr>
                <w:b w:val="0"/>
                <w:sz w:val="18"/>
              </w:rPr>
              <w:t>Masukan &amp; Proses Pendidikan</w:t>
            </w:r>
          </w:p>
        </w:tc>
        <w:tc>
          <w:tcPr>
            <w:tcW w:type="dxa" w:w="2160"/>
          </w:tcPr>
          <w:p>
            <w:r/>
            <w:r>
              <w:rPr>
                <w:b w:val="0"/>
                <w:sz w:val="18"/>
              </w:rPr>
              <w:t>Pedoman integrasi penelitian/PkM ke pembelajaran; IKU persentase mata kuliah yang memanfaatkan hasil penelitian/PkM/proyek/kasus (20%→25%)</w:t>
            </w:r>
          </w:p>
        </w:tc>
        <w:tc>
          <w:tcPr>
            <w:tcW w:type="dxa" w:w="2160"/>
            <w:shd w:val="clear" w:color="auto" w:fill="C6E0B4"/>
          </w:tcPr>
          <w:p>
            <w:r/>
            <w:r>
              <w:rPr>
                <w:b w:val="0"/>
                <w:sz w:val="18"/>
              </w:rPr>
              <w:t>TERPENUHI PENUH</w:t>
            </w:r>
          </w:p>
        </w:tc>
      </w:tr>
      <w:tr>
        <w:tc>
          <w:tcPr>
            <w:tcW w:type="dxa" w:w="2160"/>
          </w:tcPr>
          <w:p>
            <w:r/>
            <w:r>
              <w:rPr>
                <w:b w:val="0"/>
                <w:sz w:val="18"/>
              </w:rPr>
              <w:t>a.viii Penugasan/praktikum/praktik bengkel/lapangan (rasio jam terhadap total jam pembelajaran)</w:t>
            </w:r>
          </w:p>
        </w:tc>
        <w:tc>
          <w:tcPr>
            <w:tcW w:type="dxa" w:w="2160"/>
          </w:tcPr>
          <w:p>
            <w:r/>
            <w:r>
              <w:rPr>
                <w:b w:val="0"/>
                <w:sz w:val="18"/>
              </w:rPr>
              <w:t>-</w:t>
            </w:r>
          </w:p>
        </w:tc>
        <w:tc>
          <w:tcPr>
            <w:tcW w:type="dxa" w:w="2160"/>
          </w:tcPr>
          <w:p>
            <w:r/>
            <w:r>
              <w:rPr>
                <w:b w:val="0"/>
                <w:sz w:val="18"/>
              </w:rPr>
              <w:t>Praktikum disebut sebagai salah satu metode pembelajaran inovatif, namun RASIO JAM eksplisit terhadap total jam pembelajaran TIDAK DITEMUKAN</w:t>
            </w:r>
          </w:p>
        </w:tc>
        <w:tc>
          <w:tcPr>
            <w:tcW w:type="dxa" w:w="2160"/>
            <w:shd w:val="clear" w:color="auto" w:fill="F8CBAD"/>
          </w:tcPr>
          <w:p>
            <w:r/>
            <w:r>
              <w:rPr>
                <w:b w:val="0"/>
                <w:sz w:val="18"/>
              </w:rPr>
              <w:t>BELUM TERPENUHI</w:t>
            </w:r>
          </w:p>
        </w:tc>
      </w:tr>
      <w:tr>
        <w:tc>
          <w:tcPr>
            <w:tcW w:type="dxa" w:w="2160"/>
          </w:tcPr>
          <w:p>
            <w:r/>
            <w:r>
              <w:rPr>
                <w:b w:val="0"/>
                <w:sz w:val="18"/>
              </w:rPr>
              <w:t>a.ix Basic science dan matematika (mata kuliah inti sesuai disiplin)</w:t>
            </w:r>
          </w:p>
        </w:tc>
        <w:tc>
          <w:tcPr>
            <w:tcW w:type="dxa" w:w="2160"/>
          </w:tcPr>
          <w:p>
            <w:r/>
            <w:r>
              <w:rPr>
                <w:b w:val="0"/>
                <w:sz w:val="18"/>
              </w:rPr>
              <w:t>-</w:t>
            </w:r>
          </w:p>
        </w:tc>
        <w:tc>
          <w:tcPr>
            <w:tcW w:type="dxa" w:w="2160"/>
          </w:tcPr>
          <w:p>
            <w:r/>
            <w:r>
              <w:rPr>
                <w:b w:val="0"/>
                <w:sz w:val="18"/>
              </w:rPr>
              <w:t>TIDAK DITEMUKAN — kemungkinan tidak relevan langsung untuk rumpun Informatika/Sistem Informasi FTII (berbeda dari Teknik murni), perlu klarifikasi cakupan prodi</w:t>
            </w:r>
          </w:p>
        </w:tc>
        <w:tc>
          <w:tcPr>
            <w:tcW w:type="dxa" w:w="2160"/>
            <w:shd w:val="clear" w:color="auto" w:fill="F8CBAD"/>
          </w:tcPr>
          <w:p>
            <w:r/>
            <w:r>
              <w:rPr>
                <w:b w:val="0"/>
                <w:sz w:val="18"/>
              </w:rPr>
              <w:t>TIDAK DITEMUKAN / perlu klarifikasi relevansi</w:t>
            </w:r>
          </w:p>
        </w:tc>
      </w:tr>
      <w:tr>
        <w:tc>
          <w:tcPr>
            <w:tcW w:type="dxa" w:w="2160"/>
          </w:tcPr>
          <w:p>
            <w:r/>
            <w:r>
              <w:rPr>
                <w:b w:val="0"/>
                <w:sz w:val="18"/>
              </w:rPr>
              <w:t>a.x Proyek Rekayasa Penciri Bidang Prodi (Capstone Design/Project)</w:t>
            </w:r>
          </w:p>
        </w:tc>
        <w:tc>
          <w:tcPr>
            <w:tcW w:type="dxa" w:w="2160"/>
          </w:tcPr>
          <w:p>
            <w:r/>
            <w:r>
              <w:rPr>
                <w:b w:val="0"/>
                <w:sz w:val="18"/>
              </w:rPr>
              <w:t>Proses Pendidikan</w:t>
            </w:r>
          </w:p>
        </w:tc>
        <w:tc>
          <w:tcPr>
            <w:tcW w:type="dxa" w:w="2160"/>
          </w:tcPr>
          <w:p>
            <w:r/>
            <w:r>
              <w:rPr>
                <w:b w:val="0"/>
                <w:sz w:val="18"/>
              </w:rPr>
              <w:t>Ketentuan 'Tugas Akhir' wajib bagi mahasiswa sarjana sebagai bukti pencapaian kompetensi; istilah dan struktur formal 'Capstone Design/Project' ala keteknikan tidak eksplisit dipakai</w:t>
            </w:r>
          </w:p>
        </w:tc>
        <w:tc>
          <w:tcPr>
            <w:tcW w:type="dxa" w:w="2160"/>
            <w:shd w:val="clear" w:color="auto" w:fill="FFE699"/>
          </w:tcPr>
          <w:p>
            <w:r/>
            <w:r>
              <w:rPr>
                <w:b w:val="0"/>
                <w:sz w:val="18"/>
              </w:rPr>
              <w:t>TERPENUHI SEBAGIAN</w:t>
            </w:r>
          </w:p>
        </w:tc>
      </w:tr>
      <w:tr>
        <w:tc>
          <w:tcPr>
            <w:tcW w:type="dxa" w:w="2160"/>
          </w:tcPr>
          <w:p>
            <w:r/>
            <w:r>
              <w:rPr>
                <w:b w:val="0"/>
                <w:sz w:val="18"/>
              </w:rPr>
              <w:t>a.xi Suasana akademik (pengelolaan + integritas &amp; kebebasan ilmiah)</w:t>
            </w:r>
          </w:p>
        </w:tc>
        <w:tc>
          <w:tcPr>
            <w:tcW w:type="dxa" w:w="2160"/>
          </w:tcPr>
          <w:p>
            <w:r/>
            <w:r>
              <w:rPr>
                <w:b w:val="0"/>
                <w:sz w:val="18"/>
              </w:rPr>
              <w:t>Proses Pendidikan</w:t>
            </w:r>
          </w:p>
        </w:tc>
        <w:tc>
          <w:tcPr>
            <w:tcW w:type="dxa" w:w="2160"/>
          </w:tcPr>
          <w:p>
            <w:r/>
            <w:r>
              <w:rPr>
                <w:b w:val="0"/>
                <w:sz w:val="18"/>
              </w:rPr>
              <w:t>Kebijakan &amp; kegiatan peningkatan suasana akademik, survei kepuasan, Satgas PPKS ada; namun 'kebebasan akademik, mimbar akademik, otonomi keilmuan' tidak eksplisit disebut</w:t>
            </w:r>
          </w:p>
        </w:tc>
        <w:tc>
          <w:tcPr>
            <w:tcW w:type="dxa" w:w="2160"/>
            <w:shd w:val="clear" w:color="auto" w:fill="FFE699"/>
          </w:tcPr>
          <w:p>
            <w:r/>
            <w:r>
              <w:rPr>
                <w:b w:val="0"/>
                <w:sz w:val="18"/>
              </w:rPr>
              <w:t>TERPENUHI SEBAGIAN</w:t>
            </w:r>
          </w:p>
        </w:tc>
      </w:tr>
    </w:tbl>
    <w:p/>
    <w:p>
      <w:pPr>
        <w:spacing w:before="200" w:after="80"/>
      </w:pPr>
      <w:r>
        <w:rPr>
          <w:b/>
          <w:sz w:val="23"/>
        </w:rPr>
        <w:t>b) Penelitian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D9D9"/>
          </w:tcPr>
          <w:p>
            <w:r/>
            <w:r>
              <w:rPr>
                <w:b/>
                <w:sz w:val="18"/>
              </w:rPr>
              <w:t>Sub-Elemen C.3 (Penelitian)</w:t>
            </w:r>
          </w:p>
        </w:tc>
        <w:tc>
          <w:tcPr>
            <w:tcW w:type="dxa" w:w="2160"/>
            <w:shd w:val="clear" w:color="auto" w:fill="D9D9D9"/>
          </w:tcPr>
          <w:p>
            <w:r/>
            <w:r>
              <w:rPr>
                <w:b/>
                <w:sz w:val="18"/>
              </w:rPr>
              <w:t>Dokumen Sumber FTII</w:t>
            </w:r>
          </w:p>
        </w:tc>
        <w:tc>
          <w:tcPr>
            <w:tcW w:type="dxa" w:w="2160"/>
            <w:shd w:val="clear" w:color="auto" w:fill="D9D9D9"/>
          </w:tcPr>
          <w:p>
            <w:r/>
            <w:r>
              <w:rPr>
                <w:b/>
                <w:sz w:val="18"/>
              </w:rPr>
              <w:t>Ketentuan yang Ditemukan (ringkas)</w:t>
            </w:r>
          </w:p>
        </w:tc>
        <w:tc>
          <w:tcPr>
            <w:tcW w:type="dxa" w:w="2160"/>
            <w:shd w:val="clear" w:color="auto" w:fill="D9D9D9"/>
          </w:tcPr>
          <w:p>
            <w:r/>
            <w:r>
              <w:rPr>
                <w:b/>
                <w:sz w:val="18"/>
              </w:rPr>
              <w:t>Status</w:t>
            </w:r>
          </w:p>
        </w:tc>
      </w:tr>
      <w:tr>
        <w:tc>
          <w:tcPr>
            <w:tcW w:type="dxa" w:w="2160"/>
          </w:tcPr>
          <w:p>
            <w:r/>
            <w:r>
              <w:rPr>
                <w:b w:val="0"/>
                <w:sz w:val="18"/>
              </w:rPr>
              <w:t>b.i Kesesuaian penelitian dengan VMTS UPPS &amp; visi keilmuan prodi (4 unsur: peta jalan, memayungi tema dosen-mahasiswa, evaluasi berkala, dampak masyarakat)</w:t>
            </w:r>
          </w:p>
        </w:tc>
        <w:tc>
          <w:tcPr>
            <w:tcW w:type="dxa" w:w="2160"/>
          </w:tcPr>
          <w:p>
            <w:r/>
            <w:r>
              <w:rPr>
                <w:b w:val="0"/>
                <w:sz w:val="18"/>
              </w:rPr>
              <w:t>Masukan &amp; Proses Penelitian</w:t>
            </w:r>
          </w:p>
        </w:tc>
        <w:tc>
          <w:tcPr>
            <w:tcW w:type="dxa" w:w="2160"/>
          </w:tcPr>
          <w:p>
            <w:r/>
            <w:r>
              <w:rPr>
                <w:b w:val="0"/>
                <w:sz w:val="18"/>
              </w:rPr>
              <w:t>Renstra &amp; Roadmap Penelitian selaras VMTS dan bidang keilmuan; evaluasi berkala (monev, AMI) ada; 'dampak positif bagi masyarakat' sebagai INDIKATOR tersendiri TIDAK ditemukan</w:t>
            </w:r>
          </w:p>
        </w:tc>
        <w:tc>
          <w:tcPr>
            <w:tcW w:type="dxa" w:w="2160"/>
            <w:shd w:val="clear" w:color="auto" w:fill="FFE699"/>
          </w:tcPr>
          <w:p>
            <w:r/>
            <w:r>
              <w:rPr>
                <w:b w:val="0"/>
                <w:sz w:val="18"/>
              </w:rPr>
              <w:t>TERPENUHI SEBAGIAN (3 dari 4 unsur)</w:t>
            </w:r>
          </w:p>
        </w:tc>
      </w:tr>
      <w:tr>
        <w:tc>
          <w:tcPr>
            <w:tcW w:type="dxa" w:w="2160"/>
          </w:tcPr>
          <w:p>
            <w:r/>
            <w:r>
              <w:rPr>
                <w:b w:val="0"/>
                <w:sz w:val="18"/>
              </w:rPr>
              <w:t>b.ii Penelitian DTPS yang melibatkan mahasiswa (3 tahun terakhir)</w:t>
            </w:r>
          </w:p>
        </w:tc>
        <w:tc>
          <w:tcPr>
            <w:tcW w:type="dxa" w:w="2160"/>
          </w:tcPr>
          <w:p>
            <w:r/>
            <w:r>
              <w:rPr>
                <w:b w:val="0"/>
                <w:sz w:val="18"/>
              </w:rPr>
              <w:t>Proses Penelitian</w:t>
            </w:r>
          </w:p>
        </w:tc>
        <w:tc>
          <w:tcPr>
            <w:tcW w:type="dxa" w:w="2160"/>
          </w:tcPr>
          <w:p>
            <w:r/>
            <w:r>
              <w:rPr>
                <w:b w:val="0"/>
                <w:sz w:val="18"/>
              </w:rPr>
              <w:t>Wajib 100% penelitian melibatkan mahasiswa; IKU persentase mahasiswa terlibat 20%→30% — LEBIH TERUKUR dari tuntutan LED (LED hanya minta deskripsi historis 3 tahun)</w:t>
            </w:r>
          </w:p>
        </w:tc>
        <w:tc>
          <w:tcPr>
            <w:tcW w:type="dxa" w:w="2160"/>
            <w:shd w:val="clear" w:color="auto" w:fill="C6E0B4"/>
          </w:tcPr>
          <w:p>
            <w:r/>
            <w:r>
              <w:rPr>
                <w:b w:val="0"/>
                <w:sz w:val="18"/>
              </w:rPr>
              <w:t>TERPENUHI PENUH — melampaui LED</w:t>
            </w:r>
          </w:p>
        </w:tc>
      </w:tr>
      <w:tr>
        <w:tc>
          <w:tcPr>
            <w:tcW w:type="dxa" w:w="2160"/>
          </w:tcPr>
          <w:p>
            <w:r/>
            <w:r>
              <w:rPr>
                <w:b w:val="0"/>
                <w:sz w:val="18"/>
              </w:rPr>
              <w:t>b.iii Penelitian DTPS yang menjadi rujukan tema tesis/disertasi</w:t>
            </w:r>
          </w:p>
        </w:tc>
        <w:tc>
          <w:tcPr>
            <w:tcW w:type="dxa" w:w="2160"/>
          </w:tcPr>
          <w:p>
            <w:r/>
            <w:r>
              <w:rPr>
                <w:b w:val="0"/>
                <w:sz w:val="18"/>
              </w:rPr>
              <w:t>-</w:t>
            </w:r>
          </w:p>
        </w:tc>
        <w:tc>
          <w:tcPr>
            <w:tcW w:type="dxa" w:w="2160"/>
          </w:tcPr>
          <w:p>
            <w:r/>
            <w:r>
              <w:rPr>
                <w:b w:val="0"/>
                <w:sz w:val="18"/>
              </w:rPr>
              <w:t>TIDAK DITEMUKAN pada Masukan/Proses Penelitian (relevan jika FTII menaungi program Magister — Rasional Standar VMTS menyebut FTII menyelenggarakan program magister)</w:t>
            </w:r>
          </w:p>
        </w:tc>
        <w:tc>
          <w:tcPr>
            <w:tcW w:type="dxa" w:w="2160"/>
            <w:shd w:val="clear" w:color="auto" w:fill="F8CBAD"/>
          </w:tcPr>
          <w:p>
            <w:r/>
            <w:r>
              <w:rPr>
                <w:b w:val="0"/>
                <w:sz w:val="18"/>
              </w:rPr>
              <w:t>BELUM TERPENUHI</w:t>
            </w:r>
          </w:p>
        </w:tc>
      </w:tr>
    </w:tbl>
    <w:p/>
    <w:p>
      <w:pPr>
        <w:spacing w:before="200" w:after="80"/>
      </w:pPr>
      <w:r>
        <w:rPr>
          <w:b/>
          <w:sz w:val="23"/>
        </w:rPr>
        <w:t>c) PkM</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D9D9"/>
          </w:tcPr>
          <w:p>
            <w:r/>
            <w:r>
              <w:rPr>
                <w:b/>
                <w:sz w:val="18"/>
              </w:rPr>
              <w:t>Sub-Elemen C.3 (PkM)</w:t>
            </w:r>
          </w:p>
        </w:tc>
        <w:tc>
          <w:tcPr>
            <w:tcW w:type="dxa" w:w="2160"/>
            <w:shd w:val="clear" w:color="auto" w:fill="D9D9D9"/>
          </w:tcPr>
          <w:p>
            <w:r/>
            <w:r>
              <w:rPr>
                <w:b/>
                <w:sz w:val="18"/>
              </w:rPr>
              <w:t>Dokumen Sumber FTII</w:t>
            </w:r>
          </w:p>
        </w:tc>
        <w:tc>
          <w:tcPr>
            <w:tcW w:type="dxa" w:w="2160"/>
            <w:shd w:val="clear" w:color="auto" w:fill="D9D9D9"/>
          </w:tcPr>
          <w:p>
            <w:r/>
            <w:r>
              <w:rPr>
                <w:b/>
                <w:sz w:val="18"/>
              </w:rPr>
              <w:t>Ketentuan yang Ditemukan (ringkas)</w:t>
            </w:r>
          </w:p>
        </w:tc>
        <w:tc>
          <w:tcPr>
            <w:tcW w:type="dxa" w:w="2160"/>
            <w:shd w:val="clear" w:color="auto" w:fill="D9D9D9"/>
          </w:tcPr>
          <w:p>
            <w:r/>
            <w:r>
              <w:rPr>
                <w:b/>
                <w:sz w:val="18"/>
              </w:rPr>
              <w:t>Status</w:t>
            </w:r>
          </w:p>
        </w:tc>
      </w:tr>
      <w:tr>
        <w:tc>
          <w:tcPr>
            <w:tcW w:type="dxa" w:w="2160"/>
          </w:tcPr>
          <w:p>
            <w:r/>
            <w:r>
              <w:rPr>
                <w:b w:val="0"/>
                <w:sz w:val="18"/>
              </w:rPr>
              <w:t>c.i Kesesuaian PkM dengan VMTS UPPS &amp; visi keilmuan prodi (4 unsur sama seperti penelitian)</w:t>
            </w:r>
          </w:p>
        </w:tc>
        <w:tc>
          <w:tcPr>
            <w:tcW w:type="dxa" w:w="2160"/>
          </w:tcPr>
          <w:p>
            <w:r/>
            <w:r>
              <w:rPr>
                <w:b w:val="0"/>
                <w:sz w:val="18"/>
              </w:rPr>
              <w:t>Masukan &amp; Proses PkM</w:t>
            </w:r>
          </w:p>
        </w:tc>
        <w:tc>
          <w:tcPr>
            <w:tcW w:type="dxa" w:w="2160"/>
          </w:tcPr>
          <w:p>
            <w:r/>
            <w:r>
              <w:rPr>
                <w:b w:val="0"/>
                <w:sz w:val="18"/>
              </w:rPr>
              <w:t>Renstra &amp; Roadmap PkM selaras VMTS; evaluasi berkala (monev 2x/tahun, AMI) ada; 'dampak positif masyarakat' sebagai indikator tersendiri TIDAK eksplisit — hanya narasi rasional</w:t>
            </w:r>
          </w:p>
        </w:tc>
        <w:tc>
          <w:tcPr>
            <w:tcW w:type="dxa" w:w="2160"/>
            <w:shd w:val="clear" w:color="auto" w:fill="FFE699"/>
          </w:tcPr>
          <w:p>
            <w:r/>
            <w:r>
              <w:rPr>
                <w:b w:val="0"/>
                <w:sz w:val="18"/>
              </w:rPr>
              <w:t>TERPENUHI SEBAGIAN (3 dari 4 unsur)</w:t>
            </w:r>
          </w:p>
        </w:tc>
      </w:tr>
      <w:tr>
        <w:tc>
          <w:tcPr>
            <w:tcW w:type="dxa" w:w="2160"/>
          </w:tcPr>
          <w:p>
            <w:r/>
            <w:r>
              <w:rPr>
                <w:b w:val="0"/>
                <w:sz w:val="18"/>
              </w:rPr>
              <w:t>c.ii PkM DTPS yang melibatkan mahasiswa (3 tahun terakhir)</w:t>
            </w:r>
          </w:p>
        </w:tc>
        <w:tc>
          <w:tcPr>
            <w:tcW w:type="dxa" w:w="2160"/>
          </w:tcPr>
          <w:p>
            <w:r/>
            <w:r>
              <w:rPr>
                <w:b w:val="0"/>
                <w:sz w:val="18"/>
              </w:rPr>
              <w:t>Proses PkM</w:t>
            </w:r>
          </w:p>
        </w:tc>
        <w:tc>
          <w:tcPr>
            <w:tcW w:type="dxa" w:w="2160"/>
          </w:tcPr>
          <w:p>
            <w:r/>
            <w:r>
              <w:rPr>
                <w:b w:val="0"/>
                <w:sz w:val="18"/>
              </w:rPr>
              <w:t>Wajib 100% kegiatan PkM melibatkan mahasiswa; IKU persentase mahasiswa terlibat 5%→8% — LEBIH TERUKUR dari tuntutan LED</w:t>
            </w:r>
          </w:p>
        </w:tc>
        <w:tc>
          <w:tcPr>
            <w:tcW w:type="dxa" w:w="2160"/>
            <w:shd w:val="clear" w:color="auto" w:fill="C6E0B4"/>
          </w:tcPr>
          <w:p>
            <w:r/>
            <w:r>
              <w:rPr>
                <w:b w:val="0"/>
                <w:sz w:val="18"/>
              </w:rPr>
              <w:t>TERPENUHI PENUH — melampaui LED</w:t>
            </w:r>
          </w:p>
        </w:tc>
      </w:tr>
    </w:tbl>
    <w:p/>
    <w:p>
      <w:pPr>
        <w:spacing w:before="200" w:after="80"/>
      </w:pPr>
      <w:r>
        <w:rPr>
          <w:b/>
          <w:sz w:val="23"/>
        </w:rPr>
        <w:t>Elemen Lintas-Bidang</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D9D9"/>
          </w:tcPr>
          <w:p>
            <w:r/>
            <w:r>
              <w:rPr>
                <w:b/>
                <w:sz w:val="18"/>
              </w:rPr>
              <w:t>Elemen</w:t>
            </w:r>
          </w:p>
        </w:tc>
        <w:tc>
          <w:tcPr>
            <w:tcW w:type="dxa" w:w="4320"/>
            <w:shd w:val="clear" w:color="auto" w:fill="D9D9D9"/>
          </w:tcPr>
          <w:p>
            <w:r/>
            <w:r>
              <w:rPr>
                <w:b/>
                <w:sz w:val="18"/>
              </w:rPr>
              <w:t>Status pada keenam dokumen</w:t>
            </w:r>
          </w:p>
        </w:tc>
      </w:tr>
      <w:tr>
        <w:tc>
          <w:tcPr>
            <w:tcW w:type="dxa" w:w="4320"/>
          </w:tcPr>
          <w:p>
            <w:r/>
            <w:r>
              <w:rPr>
                <w:b w:val="0"/>
                <w:sz w:val="18"/>
              </w:rPr>
              <w:t>4. Analisis Faktor Keberhasilan dan Penghambat Pencapaian</w:t>
            </w:r>
          </w:p>
        </w:tc>
        <w:tc>
          <w:tcPr>
            <w:tcW w:type="dxa" w:w="4320"/>
            <w:shd w:val="clear" w:color="auto" w:fill="F8CBAD"/>
          </w:tcPr>
          <w:p>
            <w:r/>
            <w:r>
              <w:rPr>
                <w:b w:val="0"/>
                <w:sz w:val="18"/>
              </w:rPr>
              <w:t>BELUM TERPENUHI — konsisten dengan temuan pada C.1/C.2: keenam dokumen memiliki mekanisme Monev/AMI/RTL, tetapi TIDAK ADA satupun yang secara eksplisit mewajibkan output 'analisis faktor keberhasilan dan akar masalah penghambat' sebagai dokumen tersendiri</w:t>
            </w:r>
          </w:p>
        </w:tc>
      </w:tr>
      <w:tr>
        <w:tc>
          <w:tcPr>
            <w:tcW w:type="dxa" w:w="4320"/>
          </w:tcPr>
          <w:p>
            <w:r/>
            <w:r>
              <w:rPr>
                <w:b w:val="0"/>
                <w:sz w:val="18"/>
              </w:rPr>
              <w:t>5. Strategi Perbaikan dan Pengembangan (SWOT)</w:t>
            </w:r>
          </w:p>
        </w:tc>
        <w:tc>
          <w:tcPr>
            <w:tcW w:type="dxa" w:w="4320"/>
            <w:shd w:val="clear" w:color="auto" w:fill="F8CBAD"/>
          </w:tcPr>
          <w:p>
            <w:r/>
            <w:r>
              <w:rPr>
                <w:b w:val="0"/>
                <w:sz w:val="18"/>
              </w:rPr>
              <w:t>TERPENUHI SEBAGIAN — RTL berbasis hasil Monev/AMI tersedia di keenam dokumen, namun SWOT sebagai metode analisis eksplisit dan berulang setiap siklus evaluasi TIDAK ditemukan pada keenam dokumen Masukan/Proses (SWOT hanya muncul pada bagian VMTS/Strategi Fakultas di awal setiap dokumen, bersifat boilerplate, bukan siklus evaluasi tahunan tridharma)</w:t>
            </w:r>
          </w:p>
        </w:tc>
      </w:tr>
    </w:tbl>
    <w:p/>
    <w:p>
      <w:pPr>
        <w:spacing w:before="280" w:after="120"/>
      </w:pPr>
      <w:r>
        <w:rPr>
          <w:b/>
          <w:sz w:val="26"/>
        </w:rPr>
        <w:t>B. PEMBAHASAN DETAIL</w:t>
      </w:r>
    </w:p>
    <w:p>
      <w:pPr>
        <w:spacing w:before="200" w:after="80"/>
      </w:pPr>
      <w:r>
        <w:rPr>
          <w:b/>
          <w:sz w:val="23"/>
        </w:rPr>
        <w:t>a) Pendidikan</w:t>
      </w:r>
    </w:p>
    <w:p>
      <w:pPr>
        <w:spacing w:after="120"/>
      </w:pPr>
      <w:r>
        <w:rPr>
          <w:b w:val="0"/>
          <w:i w:val="0"/>
        </w:rPr>
        <w:t>Kekuatan utama: pemutakhiran kurikulum (a.i), integrasi penelitian/PkM dalam pembelajaran (a.vii, dengan target kuantitatif 20%→25% mata kuliah), dan proses pembelajaran (a.vi) sudah terpenuhi penuh dengan ketentuan yang rinci dan terukur, bahkan melampaui pola deskriptif LED pada beberapa poin (misalnya target persentase mata kuliah berbasis riset/PkM).</w:t>
      </w:r>
    </w:p>
    <w:p>
      <w:pPr>
        <w:spacing w:after="120"/>
      </w:pPr>
      <w:r>
        <w:rPr>
          <w:b w:val="0"/>
          <w:i w:val="0"/>
        </w:rPr>
        <w:t>Gap paling signifikan pada unsur Pendidikan adalah TIDAK DITEMUKANNYA cakupan 'Profil Lulusan' dan 'Kesesuaian CPL dengan Standar Kompetensi Lulusan' (a.ii dan a.iii) pada dokumen Masukan/Proses Pendidikan. Ini BUKAN berarti FTII tidak memilikinya sama sekali — cakupan tersebut terletak pada Standar Luaran Pendidikan/Kompetensi Lulusan (dokumen 'standarluaranpendidikanunggul.docx' dan 'standarkomptensilulusan.docx' yang telah dipetakan secara terpisah pada pekerjaan sebelumnya). Namun penting dicatat: LED Kriteria C.3 (bukan C.6) yang secara eksplisit menempatkan Profil Lulusan dan CPL sebagai bagian dari 'Relevansi Pendidikan' — sehingga saat penyusunan narasi LED, tim penyusun WAJIB menggabungkan referensi dari dokumen Luaran Pendidikan ke dalam narasi C.3, bukan hanya C.6.</w:t>
      </w:r>
    </w:p>
    <w:p>
      <w:pPr>
        <w:spacing w:after="120"/>
      </w:pPr>
      <w:r>
        <w:rPr>
          <w:b w:val="0"/>
          <w:i w:val="0"/>
        </w:rPr>
        <w:t>Gap kedua: rasio jam praktikum/praktik bengkel/lapangan terhadap total jam pembelajaran (a.viii) tidak memiliki indikator kuantitatif eksplisit, padahal LED mensyaratkan data rasio ini secara khusus untuk program Diploma dan Sarjana (Tabel 3.a.1 LKPS).</w:t>
      </w:r>
    </w:p>
    <w:p>
      <w:pPr>
        <w:spacing w:after="120"/>
      </w:pPr>
      <w:r>
        <w:rPr>
          <w:b w:val="0"/>
          <w:i w:val="0"/>
        </w:rPr>
        <w:t>Gap ketiga: istilah dan struktur formal 'Capstone Design/Capstone Project' (a.x) belum digunakan secara eksplisit — FTII menggunakan istilah 'Tugas Akhir' secara umum tanpa memerinci apakah memenuhi unsur capstone khas keteknikan (standar keteknikan, batasan realistis berbasis pengetahuan sebelumnya, panduan pelaksanaan tersendiri) sebagaimana disyaratkan LKPS Tabel 3.a.5.</w:t>
      </w:r>
    </w:p>
    <w:p>
      <w:pPr>
        <w:spacing w:before="200" w:after="80"/>
      </w:pPr>
      <w:r>
        <w:rPr>
          <w:b/>
          <w:sz w:val="23"/>
        </w:rPr>
        <w:t>b) Penelitian</w:t>
      </w:r>
    </w:p>
    <w:p>
      <w:pPr>
        <w:spacing w:after="120"/>
      </w:pPr>
      <w:r>
        <w:rPr>
          <w:b w:val="0"/>
          <w:i w:val="0"/>
        </w:rPr>
        <w:t>Pelibatan mahasiswa dalam penelitian (b.ii) merupakan capaian terbaik pada unsur ini — FTII menetapkan target wajib 100% penelitian melibatkan mahasiswa dengan indikator persentase mahasiswa terlibat yang meningkat progresif (20%→30%), jauh lebih terukur dibanding LED yang hanya meminta deskripsi historis 3 tahun terakhir.</w:t>
      </w:r>
    </w:p>
    <w:p>
      <w:pPr>
        <w:spacing w:after="120"/>
      </w:pPr>
      <w:r>
        <w:rPr>
          <w:b w:val="0"/>
          <w:i w:val="0"/>
        </w:rPr>
        <w:t>Gap signifikan: penelitian DTPS sebagai rujukan tema tesis/disertasi (b.iii) tidak ditemukan sebagai ketentuan atau indikator pada dokumen manapun, padahal Rasional Standar VMTS FTII menyatakan FTII menyelenggarakan program magister — sehingga elemen ini relevan dan perlu ditambahkan bila FTII mengajukan akreditasi untuk program Magister.</w:t>
      </w:r>
    </w:p>
    <w:p>
      <w:pPr>
        <w:spacing w:after="120"/>
      </w:pPr>
      <w:r>
        <w:rPr>
          <w:b w:val="0"/>
          <w:i w:val="0"/>
        </w:rPr>
        <w:t>'Dampak positif bagi masyarakat' sebagai salah satu dari 4 unsur kesesuaian penelitian dengan VMTS (b.i) tidak memiliki indikator kinerja tersendiri — baru sebatas pernyataan naratif pada bagian Rasional, belum diturunkan menjadi IKU yang terukur.</w:t>
      </w:r>
    </w:p>
    <w:p>
      <w:pPr>
        <w:spacing w:before="200" w:after="80"/>
      </w:pPr>
      <w:r>
        <w:rPr>
          <w:b/>
          <w:sz w:val="23"/>
        </w:rPr>
        <w:t>c) PkM</w:t>
      </w:r>
    </w:p>
    <w:p>
      <w:pPr>
        <w:spacing w:after="120"/>
      </w:pPr>
      <w:r>
        <w:rPr>
          <w:b w:val="0"/>
          <w:i w:val="0"/>
        </w:rPr>
        <w:t>Pola yang sama seperti Penelitian: pelibatan mahasiswa dalam PkM (c.ii) sangat kuat dan terukur (wajib 100%, indikator persentase mahasiswa terlibat 5%→8%), melampaui tuntutan deskriptif LED. Namun 'dampak positif bagi masyarakat' sebagai indikator tersendiri (c.i, unsur ke-4) belum diturunkan menjadi IKU kuantitatif — padahal secara substantif ini adalah inti dari kegiatan PkM itu sendiri, sehingga ketiadaan indikator eksplisit merupakan kejanggalan yang perlu diperbaiki.</w:t>
      </w:r>
    </w:p>
    <w:p>
      <w:pPr>
        <w:spacing w:before="200" w:after="80"/>
      </w:pPr>
      <w:r>
        <w:rPr>
          <w:b/>
          <w:sz w:val="23"/>
        </w:rPr>
        <w:t>4. Analisis Faktor Keberhasilan dan Penghambat</w:t>
      </w:r>
    </w:p>
    <w:p>
      <w:pPr>
        <w:spacing w:after="120"/>
      </w:pPr>
      <w:r>
        <w:rPr>
          <w:b w:val="0"/>
          <w:i w:val="0"/>
        </w:rPr>
        <w:t>Sama seperti temuan pada pemetaan Kriteria C.1 dan C.2 sebelumnya, KEENAM dokumen Masukan/Proses Pendidikan-Penelitian-PkM memiliki mekanisme evaluasi (Monev, AMI, RTL) tetapi TIDAK SATUPUN secara eksplisit mewajibkan output 'analisis faktor keberhasilan dan akar masalah penghambat' sebagai dokumen atau langkah tersendiri dalam siklus evaluasi. Ini adalah pola gap yang konsisten dan sistemik di seluruh standar FTII yang telah dipetakan (Visi Misi, Tata Kelola, Kerjasama, dan kini Pendidikan/Penelitian/PkM), mengindikasikan bahwa perbaikan sebaiknya dilakukan pada tingkat kebijakan SPMI universitas (Pedoman PPEPP), bukan hanya pada masing-masing standar individual.</w:t>
      </w:r>
    </w:p>
    <w:p>
      <w:pPr>
        <w:spacing w:before="200" w:after="80"/>
      </w:pPr>
      <w:r>
        <w:rPr>
          <w:b/>
          <w:sz w:val="23"/>
        </w:rPr>
        <w:t>5. Strategi Perbaikan dan Pengembangan (SWOT)</w:t>
      </w:r>
    </w:p>
    <w:p>
      <w:pPr>
        <w:spacing w:after="120"/>
      </w:pPr>
      <w:r>
        <w:rPr>
          <w:b w:val="0"/>
          <w:i w:val="0"/>
        </w:rPr>
        <w:t>Analisis SWOT hanya muncul pada bagian pembuka setiap dokumen (bagian 'Visi, Misi, Tujuan dan Strategi FTII' yang bersifat boilerplate/disalin identik ke semua 9 dokumen Ricek), bukan sebagai metode evaluasi tahunan berulang untuk masing-masing bidang Pendidikan/Penelitian/PkM. RTL berbasis hasil Monev dan AMI memang tersedia, namun tidak menggunakan kerangka SWOT (kekuatan-kelemahan-peluang-ancaman) secara eksplisit sebagaimana dituntut LED.</w:t>
      </w:r>
    </w:p>
    <w:p>
      <w:pPr>
        <w:spacing w:before="280" w:after="120"/>
      </w:pPr>
      <w:r>
        <w:rPr>
          <w:b/>
          <w:sz w:val="26"/>
        </w:rPr>
        <w:t>C. KESIMPULAN DAN REKOMENDASI</w:t>
      </w:r>
    </w:p>
    <w:p>
      <w:pPr>
        <w:spacing w:after="120"/>
      </w:pPr>
      <w:r>
        <w:rPr>
          <w:b w:val="0"/>
          <w:i w:val="0"/>
        </w:rPr>
        <w:t>Secara umum, standar Masukan dan Proses Pendidikan-Penelitian-PkM FTII MEMENUHI SEBAGIAN BESAR ketentuan operasional Kriteria C.3, dengan capaian terbaik pada pelibatan mahasiswa dalam penelitian dan PkM (melampaui tuntutan LED) serta integrasi hasil riset/PkM ke pembelajaran. Namun terdapat beberapa gap struktural dan indikator yang perlu ditindaklanjuti:</w:t>
      </w:r>
    </w:p>
    <w:p>
      <w:pPr>
        <w:pStyle w:val="ListNumber"/>
        <w:spacing w:after="120"/>
      </w:pPr>
      <w:r>
        <w:t>Memastikan narasi LED Kriteria C.3 unsur Pendidikan (Profil Lulusan, Kesesuaian CPL) merujuk silang ke Standar Luaran Pendidikan/Kompetensi Lulusan FTII, karena kedua topik ini tidak dibahas pada Standar Masukan/Proses Pendidikan namun tetap termasuk cakupan C.3 menurut Pedoman LEDPS.</w:t>
      </w:r>
    </w:p>
    <w:p>
      <w:pPr>
        <w:pStyle w:val="ListNumber"/>
        <w:spacing w:after="120"/>
      </w:pPr>
      <w:r>
        <w:t>Menambahkan indikator kuantitatif rasio jam pembelajaran berbasis penugasan/praktikum/praktik bengkel/lapangan terhadap total jam pembelajaran pada Standar Proses Pendidikan, sesuai kebutuhan data Tabel 3.a.1 LKPS.</w:t>
      </w:r>
    </w:p>
    <w:p>
      <w:pPr>
        <w:pStyle w:val="ListNumber"/>
        <w:spacing w:after="120"/>
      </w:pPr>
      <w:r>
        <w:t>Meninjau apakah unsur 'Basic Science dan Matematika' (Tabel 3.a.4 LKPS) relevan diterapkan pada program studi rumpun Informatika/Sistem Informasi di FTII, dan jika relevan, menambahkannya sebagai ketentuan eksplisit; jika tidak relevan, mendokumentasikan alasan pengecualiannya untuk keperluan LED.</w:t>
      </w:r>
    </w:p>
    <w:p>
      <w:pPr>
        <w:pStyle w:val="ListNumber"/>
        <w:spacing w:after="120"/>
      </w:pPr>
      <w:r>
        <w:t>Menyelaraskan istilah 'Tugas Akhir' dengan struktur formal 'Capstone Design/Capstone Project' sesuai Tabel 3.a.5 LKPS (memuat panduan pelaksanaan, rumusan capaian pembelajaran mata kuliah, standar keteknikan, dan batasan realistis berbasis pengetahuan yang telah diperoleh sebelumnya).</w:t>
      </w:r>
    </w:p>
    <w:p>
      <w:pPr>
        <w:pStyle w:val="ListNumber"/>
        <w:spacing w:after="120"/>
      </w:pPr>
      <w:r>
        <w:t>Menambahkan ketentuan mekanisme rekrutmen dan seleksi mahasiswa baru program Magister (jika berlaku) pada Standar Masukan Pendidikan, serta ketentuan penelitian DTPS sebagai rujukan tema tesis pada Standar Masukan/Proses Penelitian.</w:t>
      </w:r>
    </w:p>
    <w:p>
      <w:pPr>
        <w:pStyle w:val="ListNumber"/>
        <w:spacing w:after="120"/>
      </w:pPr>
      <w:r>
        <w:t>Menambahkan Indikator Kinerja Utama yang secara eksplisit mengukur 'dampak positif bagi masyarakat' dari penelitian dan PkM (mis. jumlah mitra/kelompok masyarakat penerima manfaat, testimoni/survei dampak), agar unsur ke-4 dari kesesuaian penelitian/PkM dengan VMTS pada Kriteria C.3 dapat dibuktikan secara terukur, tidak hanya naratif.</w:t>
      </w:r>
    </w:p>
    <w:p>
      <w:pPr>
        <w:pStyle w:val="ListNumber"/>
        <w:spacing w:after="120"/>
      </w:pPr>
      <w:r>
        <w:t>Menetapkan kebijakan tingkat SPMI universitas (bukan hanya di masing-masing standar individual) yang mewajibkan setiap siklus evaluasi standar menghasilkan dokumen 'Analisis Faktor Keberhasilan dan Penghambat' serta menggunakan kerangka SWOT secara eksplisit dan berulang setiap tahun/siklus — mengingat gap ini konsisten ditemukan di seluruh standar FTII yang telah dipetakan terhadap LEDPS LAM Teknik (C.1, C.2, dan C.3).</w:t>
      </w:r>
    </w:p>
    <w:p/>
    <w:p>
      <w:pPr>
        <w:jc w:val="right"/>
      </w:pPr>
      <w:r>
        <w:rPr>
          <w:i/>
        </w:rPr>
        <w:t>Disusun di Semarang pada tanggal 1 Agustus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