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PkM Program Studi Sistem Informasi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Program Studi Sistem Informasi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Program Studi Sistem Informasi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Program Studi Sistem Informasi versi Unggul; indikator publikasi dan HKI hasil PkM diatur pada Standar Luaran PkM Program Studi Sistem Informasi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Sistem Informasi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Program Studi Sistem Informasi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ISI PkM</w:t>
      </w:r>
    </w:p>
    <w:p>
      <w:pPr>
        <w:spacing w:before="200" w:after="80"/>
      </w:pPr>
      <w:r>
        <w:rPr>
          <w:b/>
          <w:sz w:val="25"/>
        </w:rPr>
        <w:t>1. Daftar Istilah</w:t>
      </w:r>
    </w:p>
    <w:p>
      <w:pPr>
        <w:pStyle w:val="ListNumber"/>
        <w:spacing w:after="120"/>
      </w:pPr>
      <w:r>
        <w:rP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rPr/>
        <w:t>Review Proposal PkM adalah proses penilaian usulan kegiatan PkM oleh reviewer bersertifikasi/legal untuk menjamin mutu, kelayakan, dan kesesuaian rencana pelaksanaan sebelum kegiatan disetujui.</w:t>
      </w:r>
    </w:p>
    <w:p>
      <w:pPr>
        <w:pStyle w:val="ListNumber"/>
        <w:spacing w:after="120"/>
      </w:pPr>
      <w:r>
        <w:rP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rPr/>
        <w:t>Legalitas Penugasan Reviewer adalah status resmi seorang reviewer yang ditetapkan melalui Surat Tugas/SK oleh pejabat berwenang untuk melakukan penilaian proposal PkM.</w:t>
      </w:r>
    </w:p>
    <w:p>
      <w:pPr>
        <w:pStyle w:val="ListNumber"/>
        <w:spacing w:after="120"/>
      </w:pPr>
      <w:r>
        <w:rP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Isi PkM</w:t>
      </w:r>
    </w:p>
    <w:p>
      <w:pPr>
        <w:pStyle w:val="ListNumber"/>
        <w:spacing w:after="120"/>
      </w:pPr>
      <w:r>
        <w:rPr/>
        <w:t>Program Studi Sistem Informasi wajib memiliki dan menerapkan Standar Perencanaan PkM yang ditetapkan melalui keputusan Rektor dan ditinjau paling sedikit satu kali dalam satu siklus Renstra.</w:t>
      </w:r>
    </w:p>
    <w:p>
      <w:pPr>
        <w:pStyle w:val="ListNumber"/>
        <w:spacing w:after="120"/>
      </w:pPr>
      <w:r>
        <w:rP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rPr/>
        <w:t>Program Studi Sistem Informasi wajib menjamin persentase kegiatan PkM yang dilaksanakan sesuai pedoman/SOP proses PkM paling sedikit 90% pada tahun pertama, meningkat menjadi 100% pada tahun ketiga.</w:t>
      </w:r>
    </w:p>
    <w:p>
      <w:pPr>
        <w:pStyle w:val="ListNumber"/>
        <w:spacing w:after="120"/>
      </w:pPr>
      <w:r>
        <w:rPr/>
        <w:t>Program Studi Sistem Informasi wajib menjamin persentase proposal PkM yang direview oleh reviewer dengan legalitas penugasan sah paling sedikit 95% pada tahun pertama, meningkat menjadi 100% pada tahun ketiga.</w:t>
      </w:r>
    </w:p>
    <w:p>
      <w:pPr>
        <w:pStyle w:val="ListNumber"/>
        <w:spacing w:after="120"/>
      </w:pPr>
      <w:r>
        <w:rPr/>
        <w:t>Program Studi Sistem Informasi wajib memiliki Rencana Induk PkM (RIP)/roadmap PkM fakultas dan program studi yang selaras dengan VMTS dan kebutuhan DUDIKA, digunakan sebagai acuan seluruh kegiatan PkM dosen dan mahasiswa.</w:t>
      </w:r>
    </w:p>
    <w:p>
      <w:pPr>
        <w:pStyle w:val="ListNumber"/>
        <w:spacing w:after="120"/>
      </w:pPr>
      <w:r>
        <w:rPr/>
        <w:t>Program Studi Sistem Informasi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rPr/>
        <w:t>Program Studi Sistem Informasi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rPr/>
        <w:t>Rektor menetapkan kebijakan Standar Perencanaan PkM FTII sebagai bagian dari SPMI Universitas, dengan ambang indikator disetarakan pada skor tertinggi instrumen LAM Teknik dan kriteria Unggul LAM INFOKOM.</w:t>
      </w:r>
    </w:p>
    <w:p>
      <w:pPr>
        <w:pStyle w:val="ListNumber"/>
        <w:spacing w:after="120"/>
      </w:pPr>
      <w:r>
        <w:rPr/>
        <w:t>DPPMP menyusun dan menerapkan checklist bukti proses PkM (9 unsur) dalam format terukur dan mendigitalisasikan pemantauan kelengkapannya menuju 100%.</w:t>
      </w:r>
    </w:p>
    <w:p>
      <w:pPr>
        <w:pStyle w:val="ListNumber"/>
        <w:spacing w:after="120"/>
      </w:pPr>
      <w:r>
        <w:rPr/>
        <w:t>DPPMP bersama Dekan FTII menyusun dan memutakhirkan RIP/roadmap PkM fakultas dan program studi, serta melaksanakan sosialisasi kepada dosen dan mahasiswa paling sedikit satu kali per tahun.</w:t>
      </w:r>
    </w:p>
    <w:p>
      <w:pPr>
        <w:pStyle w:val="ListNumber"/>
        <w:spacing w:after="120"/>
      </w:pPr>
      <w:r>
        <w:rP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PkM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kelengkapan bukti proses PkM (9 unsur)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Persentase kegiatan PkM sesuai pedoman/SOP proses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4</w:t>
            </w:r>
          </w:p>
        </w:tc>
        <w:tc>
          <w:tcPr>
            <w:tcW w:type="dxa" w:w="1234"/>
          </w:tcPr>
          <w:p>
            <w:pPr/>
            <w:r/>
            <w:r>
              <w:rPr/>
            </w:r>
            <w:r>
              <w:rPr>
                <w:b w:val="0"/>
              </w:rPr>
              <w:t>Persentase proposal direview reviewer legal [IKU - baru]</w:t>
            </w:r>
          </w:p>
        </w:tc>
        <w:tc>
          <w:tcPr>
            <w:tcW w:type="dxa" w:w="1234"/>
          </w:tcPr>
          <w:p>
            <w:pPr/>
            <w:r/>
            <w:r>
              <w:rPr/>
            </w:r>
            <w:r>
              <w:rPr>
                <w:b w:val="0"/>
              </w:rPr>
              <w:t>%</w:t>
            </w:r>
          </w:p>
        </w:tc>
        <w:tc>
          <w:tcPr>
            <w:tcW w:type="dxa" w:w="1234"/>
          </w:tcPr>
          <w:p>
            <w:pPr/>
            <w:r/>
            <w:r>
              <w:rPr/>
            </w:r>
            <w:r>
              <w:rPr>
                <w:b w:val="0"/>
              </w:rPr>
              <w:t>≥95-100 (R4)</w:t>
            </w:r>
          </w:p>
        </w:tc>
        <w:tc>
          <w:tcPr>
            <w:tcW w:type="dxa" w:w="1234"/>
          </w:tcPr>
          <w:p>
            <w:pPr/>
            <w:r/>
            <w:r>
              <w:rPr/>
            </w:r>
            <w:r>
              <w:rPr>
                <w:b w:val="0"/>
              </w:rPr>
              <w:t>95</w:t>
            </w:r>
          </w:p>
        </w:tc>
        <w:tc>
          <w:tcPr>
            <w:tcW w:type="dxa" w:w="1234"/>
          </w:tcPr>
          <w:p>
            <w:pPr/>
            <w:r/>
            <w:r>
              <w:rPr/>
            </w:r>
            <w:r>
              <w:rPr>
                <w:b w:val="0"/>
              </w:rPr>
              <w:t>98</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kegiatan PkM sesuai RIP/roadmap [IKU - baru]</w:t>
            </w:r>
          </w:p>
        </w:tc>
        <w:tc>
          <w:tcPr>
            <w:tcW w:type="dxa" w:w="1234"/>
          </w:tcPr>
          <w:p>
            <w:pPr/>
            <w:r/>
            <w:r>
              <w:rPr/>
            </w:r>
            <w:r>
              <w:rPr>
                <w:b w:val="0"/>
              </w:rPr>
              <w:t>%</w:t>
            </w:r>
          </w:p>
        </w:tc>
        <w:tc>
          <w:tcPr>
            <w:tcW w:type="dxa" w:w="1234"/>
          </w:tcPr>
          <w:p>
            <w:pPr/>
            <w:r/>
            <w:r>
              <w:rPr/>
            </w:r>
            <w:r>
              <w:rPr>
                <w:b w:val="0"/>
              </w:rPr>
              <w:t>≥75-90 (R4)</w:t>
            </w:r>
          </w:p>
        </w:tc>
        <w:tc>
          <w:tcPr>
            <w:tcW w:type="dxa" w:w="1234"/>
          </w:tcPr>
          <w:p>
            <w:pPr/>
            <w:r/>
            <w:r>
              <w:rPr/>
            </w:r>
            <w:r>
              <w:rPr>
                <w:b w:val="0"/>
              </w:rPr>
              <w:t>75</w:t>
            </w:r>
          </w:p>
        </w:tc>
        <w:tc>
          <w:tcPr>
            <w:tcW w:type="dxa" w:w="1234"/>
          </w:tcPr>
          <w:p>
            <w:pPr/>
            <w:r/>
            <w:r>
              <w:rPr/>
            </w:r>
            <w:r>
              <w:rPr>
                <w:b w:val="0"/>
              </w:rPr>
              <w:t>82</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Sosialisasi RIP/roadmap PkM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rPr/>
        <w:t>Rektor, dalam menetapkan kebijakan pengelolaan sumber daya manusia pelaksana PkM.</w:t>
      </w:r>
    </w:p>
    <w:p>
      <w:pPr>
        <w:pStyle w:val="ListBullet"/>
        <w:spacing w:after="80"/>
      </w:pPr>
      <w:r>
        <w:rPr/>
        <w:t>Direktorat Penelitian, Pengabdian kepada Masyarakat dan Publikasi (DPPMP), dalam penyelenggaraan kegiatan pengembangan kompetensi pelaksana PkM dan verifikasi kualifikasi.</w:t>
      </w:r>
    </w:p>
    <w:p>
      <w:pPr>
        <w:pStyle w:val="ListBullet"/>
        <w:spacing w:after="80"/>
      </w:pPr>
      <w:r>
        <w:rPr/>
        <w:t>Dekan FTII, dalam pemantauan produktivitas PkM dosen tingkat program studi.</w:t>
      </w:r>
    </w:p>
    <w:p>
      <w:pPr>
        <w:pStyle w:val="ListBullet"/>
        <w:spacing w:after="80"/>
      </w:pPr>
      <w:r>
        <w:rPr/>
        <w:t>Ketua Program Studi, dalam verifikasi kesesuaian kualifikasi ketua/anggota/tenaga bantu PkM dengan skema.</w:t>
      </w:r>
    </w:p>
    <w:p>
      <w:pPr>
        <w:pStyle w:val="ListBullet"/>
        <w:spacing w:after="80"/>
      </w:pPr>
      <w:r>
        <w:rPr/>
        <w:t>Direktorat Sumber Daya Manusia, dalam pengelolaan tenaga kependidikan dan laboran pendukung PkM.</w:t>
      </w:r>
    </w:p>
    <w:p>
      <w:pPr>
        <w:pStyle w:val="ListBullet"/>
        <w:spacing w:after="80"/>
      </w:pPr>
      <w:r>
        <w:rP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rPr/>
        <w:t>Program Studi Sistem Informasi wajib menetapkan persyaratan dan kualifikasi ketua pelaksana, anggota, dan tenaga bantu PkM sesuai skema PkM yang berlaku, mengacu Buku Panduan PkM.</w:t>
      </w:r>
    </w:p>
    <w:p>
      <w:pPr>
        <w:pStyle w:val="ListNumber"/>
        <w:spacing w:after="120"/>
      </w:pPr>
      <w:r>
        <w:rPr/>
        <w:t>Program Studi Sistem Informasi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rPr/>
        <w:t>Program Studi Sistem Informasi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rPr/>
        <w:t>Program Studi Sistem Informasi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rPr/>
        <w:t>Rektor menetapkan kebijakan Standar Pelaksana PkM sebagai bagian dari SPMI Universitas, dengan ambang indikator disetarakan pada skor tertinggi instrumen LAM Teknik dan kriteria Unggul LAM INFOKOM.</w:t>
      </w:r>
    </w:p>
    <w:p>
      <w:pPr>
        <w:pStyle w:val="ListNumber"/>
        <w:spacing w:after="120"/>
      </w:pPr>
      <w:r>
        <w:rP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rP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rPr/>
        <w:t>Dekan dan Ketua Program Studi menjamin ketersediaan tenaga kependidikan dan laboran PkM sesuai kebutuhan bidang keilmuan program studi.</w:t>
      </w:r>
    </w:p>
    <w:p>
      <w:pPr>
        <w:pStyle w:val="ListNumber"/>
        <w:spacing w:after="120"/>
      </w:pPr>
      <w:r>
        <w:rP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4</w:t>
            </w:r>
          </w:p>
        </w:tc>
        <w:tc>
          <w:tcPr>
            <w:tcW w:type="dxa" w:w="1234"/>
          </w:tcPr>
          <w:p>
            <w:pPr/>
            <w:r/>
            <w:r>
              <w:rPr/>
            </w:r>
            <w:r>
              <w:rPr>
                <w:b w:val="0"/>
              </w:rPr>
              <w:t>Kesesuaian kualifikasi ketua/anggota/tenaga bantu PkM dengan skema [IKU]</w:t>
            </w:r>
          </w:p>
        </w:tc>
        <w:tc>
          <w:tcPr>
            <w:tcW w:type="dxa" w:w="1234"/>
          </w:tcPr>
          <w:p>
            <w:pPr/>
            <w:r/>
            <w:r>
              <w:rPr/>
            </w:r>
            <w:r>
              <w:rPr>
                <w:b w:val="0"/>
              </w:rPr>
              <w:t>Status</w:t>
            </w:r>
          </w:p>
        </w:tc>
        <w:tc>
          <w:tcPr>
            <w:tcW w:type="dxa" w:w="1234"/>
          </w:tcPr>
          <w:p>
            <w:pPr/>
            <w:r/>
            <w:r>
              <w:rPr/>
            </w:r>
            <w:r>
              <w:rPr>
                <w:b w:val="0"/>
              </w:rPr>
              <w:t>- (praktik baik referensi)</w:t>
            </w:r>
          </w:p>
        </w:tc>
        <w:tc>
          <w:tcPr>
            <w:tcW w:type="dxa" w:w="1234"/>
          </w:tcPr>
          <w:p>
            <w:pPr/>
            <w:r/>
            <w:r>
              <w:rPr/>
            </w:r>
            <w:r>
              <w:rPr>
                <w:b w:val="0"/>
              </w:rPr>
              <w:t>Sesuai</w:t>
            </w:r>
          </w:p>
        </w:tc>
        <w:tc>
          <w:tcPr>
            <w:tcW w:type="dxa" w:w="1234"/>
          </w:tcPr>
          <w:p>
            <w:pPr/>
            <w:r/>
            <w:r>
              <w:rPr/>
            </w:r>
            <w:r>
              <w:rPr>
                <w:b w:val="0"/>
              </w:rPr>
              <w:t>Sesuai</w:t>
            </w:r>
          </w:p>
        </w:tc>
        <w:tc>
          <w:tcPr>
            <w:tcW w:type="dxa" w:w="1234"/>
          </w:tcPr>
          <w:p>
            <w:pPr/>
            <w:r/>
            <w:r>
              <w:rPr/>
            </w:r>
            <w:r>
              <w:rPr>
                <w:b w:val="0"/>
              </w:rPr>
              <w:t>Sesuai</w:t>
            </w:r>
          </w:p>
        </w:tc>
      </w:tr>
      <w:tr>
        <w:tc>
          <w:tcPr>
            <w:tcW w:type="dxa" w:w="1234"/>
          </w:tcPr>
          <w:p>
            <w:pPr/>
            <w:r/>
            <w:r>
              <w:rPr/>
            </w:r>
            <w:r>
              <w:rPr>
                <w:b w:val="0"/>
              </w:rPr>
              <w:t>5</w:t>
            </w:r>
          </w:p>
        </w:tc>
        <w:tc>
          <w:tcPr>
            <w:tcW w:type="dxa" w:w="1234"/>
          </w:tcPr>
          <w:p>
            <w:pPr/>
            <w:r/>
            <w:r>
              <w:rPr/>
            </w:r>
            <w:r>
              <w:rPr>
                <w:b w:val="0"/>
              </w:rPr>
              <w:t>Jumlah kegiatan pengembangan kompetensi pelaksana PkM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6</w:t>
            </w:r>
          </w:p>
        </w:tc>
        <w:tc>
          <w:tcPr>
            <w:tcW w:type="dxa" w:w="1234"/>
          </w:tcPr>
          <w:p>
            <w:pPr/>
            <w:r/>
            <w:r>
              <w:rPr/>
            </w:r>
            <w:r>
              <w:rPr>
                <w:b w:val="0"/>
              </w:rPr>
              <w:t>Persentase dosen mengikuti minimal 1 kegiatan pengembangan kompetensi pelaksana [IKU]</w:t>
            </w:r>
          </w:p>
        </w:tc>
        <w:tc>
          <w:tcPr>
            <w:tcW w:type="dxa" w:w="1234"/>
          </w:tcPr>
          <w:p>
            <w:pPr/>
            <w:r/>
            <w:r>
              <w:rPr/>
            </w:r>
            <w:r>
              <w:rPr>
                <w:b w:val="0"/>
              </w:rPr>
              <w:t>%</w:t>
            </w:r>
          </w:p>
        </w:tc>
        <w:tc>
          <w:tcPr>
            <w:tcW w:type="dxa" w:w="1234"/>
          </w:tcPr>
          <w:p>
            <w:pPr/>
            <w:r/>
            <w:r>
              <w:rPr/>
            </w:r>
            <w:r>
              <w:rPr>
                <w:b w:val="0"/>
              </w:rPr>
              <w:t>-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Rata-rata jumlah PkM per dosen per tahun [IKU]</w:t>
            </w:r>
          </w:p>
        </w:tc>
        <w:tc>
          <w:tcPr>
            <w:tcW w:type="dxa" w:w="1234"/>
          </w:tcPr>
          <w:p>
            <w:pPr/>
            <w:r/>
            <w:r>
              <w:rPr/>
            </w:r>
            <w:r>
              <w:rPr>
                <w:b w:val="0"/>
              </w:rPr>
              <w:t>Judul</w:t>
            </w:r>
          </w:p>
        </w:tc>
        <w:tc>
          <w:tcPr>
            <w:tcW w:type="dxa" w:w="1234"/>
          </w:tcPr>
          <w:p>
            <w:pPr/>
            <w:r/>
            <w:r>
              <w:rPr/>
            </w:r>
            <w:r>
              <w:rPr>
                <w:b w:val="0"/>
              </w:rPr>
              <w:t>≥1 (R2/R5)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8</w:t>
            </w:r>
          </w:p>
        </w:tc>
        <w:tc>
          <w:tcPr>
            <w:tcW w:type="dxa" w:w="1234"/>
          </w:tcPr>
          <w:p>
            <w:pPr/>
            <w:r/>
            <w:r>
              <w:rPr/>
            </w:r>
            <w:r>
              <w:rPr>
                <w:b w:val="0"/>
              </w:rPr>
              <w:t>Pelaporan proporsi sumber pendanaan PkM (luar negeri/dalam negeri/PT-mandiri) per dosen [IKT]</w:t>
            </w:r>
          </w:p>
        </w:tc>
        <w:tc>
          <w:tcPr>
            <w:tcW w:type="dxa" w:w="1234"/>
          </w:tcPr>
          <w:p>
            <w:pPr/>
            <w:r/>
            <w:r>
              <w:rPr/>
            </w:r>
            <w:r>
              <w:rPr>
                <w:b w:val="0"/>
              </w:rPr>
              <w:t>Status</w:t>
            </w:r>
          </w:p>
        </w:tc>
        <w:tc>
          <w:tcPr>
            <w:tcW w:type="dxa" w:w="1234"/>
          </w:tcPr>
          <w:p>
            <w:pPr/>
            <w:r/>
            <w:r>
              <w:rPr/>
            </w:r>
            <w:r>
              <w:rPr>
                <w:b w:val="0"/>
              </w:rPr>
              <w:t>a=0,05;b=0,3;c=1 (R2); 0,02;0,2;1 (R5)</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9</w:t>
            </w:r>
          </w:p>
        </w:tc>
        <w:tc>
          <w:tcPr>
            <w:tcW w:type="dxa" w:w="1234"/>
          </w:tcPr>
          <w:p>
            <w:pPr/>
            <w:r/>
            <w:r>
              <w:rPr/>
            </w:r>
            <w:r>
              <w:rPr>
                <w:b w:val="0"/>
              </w:rPr>
              <w:t>Ketersediaan tenaga kependidikan dan laboran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investasi sarana-prasarana PkM.</w:t>
      </w:r>
    </w:p>
    <w:p>
      <w:pPr>
        <w:pStyle w:val="ListBullet"/>
        <w:spacing w:after="80"/>
      </w:pPr>
      <w:r>
        <w:rPr/>
        <w:t>Divisi Pengelolaan Prasarana dan Aset (DPPA), dalam pengadaan, pemeliharaan, dan evaluasi kelayakan sarana-prasarana PkM.</w:t>
      </w:r>
    </w:p>
    <w:p>
      <w:pPr>
        <w:pStyle w:val="ListBullet"/>
        <w:spacing w:after="80"/>
      </w:pPr>
      <w:r>
        <w:rPr/>
        <w:t>Divisi Teknologi Sistem Informasi (DTSI), dalam pengelolaan jaringan internet dan Sistem Informasi PkM (SIRISBANK).</w:t>
      </w:r>
    </w:p>
    <w:p>
      <w:pPr>
        <w:pStyle w:val="ListBullet"/>
        <w:spacing w:after="80"/>
      </w:pPr>
      <w:r>
        <w:rPr/>
        <w:t>Kepala Perpustakaan dan Literasi, dalam penyediaan sumber referensi ilmiah pendukung PkM.</w:t>
      </w:r>
    </w:p>
    <w:p>
      <w:pPr>
        <w:pStyle w:val="ListBullet"/>
        <w:spacing w:after="80"/>
      </w:pPr>
      <w:r>
        <w:rP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rPr/>
        <w:t>Program Studi Sistem Informasi wajib menjamin ketersediaan sarana dan prasarana PkM yang mencakup sekurang-kurangnya: ruang unit pengelola PkM (DPPMP tingkat program studi), sarana referensi ilmiah (buku, e-book, e-jurnal, basis data ilmiah), prasarana pendukung PkM sesuai bidang keilmuan, dan pemenuhan 4 (empat) aspek Keselamatan, Kesehatan, Kenyamanan, dan Keamanan Kerja (K3).</w:t>
      </w:r>
    </w:p>
    <w:p>
      <w:pPr>
        <w:pStyle w:val="ListNumber"/>
        <w:spacing w:after="120"/>
      </w:pPr>
      <w:r>
        <w:rPr/>
        <w:t>Program Studi Sistem Informasi wajib menjamin tingkat pemanfaatan, kemutakhiran, dan aksesibilitas sarana-prasarana PkM paling sedikit 85%, meningkat menuju 100%.</w:t>
      </w:r>
    </w:p>
    <w:p>
      <w:pPr>
        <w:pStyle w:val="ListNumber"/>
        <w:spacing w:after="120"/>
      </w:pPr>
      <w:r>
        <w:rPr/>
        <w:t>Program Studi Sistem Informasi wajib menjamin ketersediaan jaringan internet yang andal untuk mendukung pelaksanaan PkM secara efektif dan berkelanjutan.</w:t>
      </w:r>
    </w:p>
    <w:p>
      <w:pPr>
        <w:pStyle w:val="ListNumber"/>
        <w:spacing w:after="120"/>
      </w:pPr>
      <w:r>
        <w:rPr/>
        <w:t>Program Studi Sistem Informasi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rPr/>
        <w:t>Rektor menetapkan kebijakan Standar Sarana dan Prasarana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rPr/>
        <w:t>Kepala Perpustakaan dan Literasi menyediakan serta memperbarui sumber referensi ilmiah (buku, e-book, jurnal ilmiah, prosiding, basis data ilmiah) yang mendukung pelaksanaan PkM.</w:t>
      </w:r>
    </w:p>
    <w:p>
      <w:pPr>
        <w:pStyle w:val="ListNumber"/>
        <w:spacing w:after="120"/>
      </w:pPr>
      <w:r>
        <w:rP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10</w:t>
            </w:r>
          </w:p>
        </w:tc>
        <w:tc>
          <w:tcPr>
            <w:tcW w:type="dxa" w:w="1234"/>
          </w:tcPr>
          <w:p>
            <w:pPr/>
            <w:r/>
            <w:r>
              <w:rPr/>
            </w:r>
            <w:r>
              <w:rPr>
                <w:b w:val="0"/>
              </w:rPr>
              <w:t>Pemenuhan checklist sarana-prasarana PkM (ruang unit pengelola, sarana referensi ilmiah,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11</w:t>
            </w:r>
          </w:p>
        </w:tc>
        <w:tc>
          <w:tcPr>
            <w:tcW w:type="dxa" w:w="1234"/>
          </w:tcPr>
          <w:p>
            <w:pPr/>
            <w:r/>
            <w:r>
              <w:rPr/>
            </w:r>
            <w:r>
              <w:rPr>
                <w:b w:val="0"/>
              </w:rPr>
              <w:t>Persentase pemanfaatan/kemutakhiran dan aksesibilitas sarana-prasarana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r>
        <w:tc>
          <w:tcPr>
            <w:tcW w:type="dxa" w:w="1234"/>
          </w:tcPr>
          <w:p>
            <w:pPr/>
            <w:r/>
            <w:r>
              <w:rPr/>
            </w:r>
            <w:r>
              <w:rPr>
                <w:b w:val="0"/>
              </w:rPr>
              <w:t>12</w:t>
            </w:r>
          </w:p>
        </w:tc>
        <w:tc>
          <w:tcPr>
            <w:tcW w:type="dxa" w:w="1234"/>
          </w:tcPr>
          <w:p>
            <w:pPr/>
            <w:r/>
            <w:r>
              <w:rPr/>
            </w:r>
            <w:r>
              <w:rPr>
                <w:b w:val="0"/>
              </w:rPr>
              <w:t>Ketersediaan jaringan internet PkM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13</w:t>
            </w:r>
          </w:p>
        </w:tc>
        <w:tc>
          <w:tcPr>
            <w:tcW w:type="dxa" w:w="1234"/>
          </w:tcPr>
          <w:p>
            <w:pPr/>
            <w:r/>
            <w:r>
              <w:rPr/>
            </w:r>
            <w:r>
              <w:rPr>
                <w:b w:val="0"/>
              </w:rPr>
              <w:t>Persentase cakupan unit/prodi aktif menggunakan Sistem Informasi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alokasi dana PkM.</w:t>
      </w:r>
    </w:p>
    <w:p>
      <w:pPr>
        <w:pStyle w:val="ListBullet"/>
        <w:spacing w:after="80"/>
      </w:pPr>
      <w:r>
        <w:rPr/>
        <w:t>Direktorat Keuangan (DKEU), dalam pencatatan, pelaporan, dan pertanggungjawaban dana PkM.</w:t>
      </w:r>
    </w:p>
    <w:p>
      <w:pPr>
        <w:pStyle w:val="ListBullet"/>
        <w:spacing w:after="80"/>
      </w:pPr>
      <w:r>
        <w:rPr/>
        <w:t>Direktorat Penelitian, Pengabdian kepada Masyarakat dan Publikasi (DPPMP), dalam pengelolaan skema hibah PkM internal dan pendampingan hibah eksternal.</w:t>
      </w:r>
    </w:p>
    <w:p>
      <w:pPr>
        <w:pStyle w:val="ListBullet"/>
        <w:spacing w:after="80"/>
      </w:pPr>
      <w:r>
        <w:rP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rPr/>
        <w:t>Program Studi Sistem Informasi wajib menjamin dana PkM per dosen per tahun paling sedikit Rp5.000.000, tetap setara ambang skor sempurna LAM Teknik, meningkat secara bertahap menuju Rp6.500.000 sebagai margin unggul.</w:t>
      </w:r>
    </w:p>
    <w:p>
      <w:pPr>
        <w:pStyle w:val="ListNumber"/>
        <w:spacing w:after="120"/>
      </w:pPr>
      <w:r>
        <w:rPr/>
        <w:t>Program Studi Sistem Informasi wajib menjamin persentase dana PkM terhadap total dana perguruan tinggi paling sedikit 5%, meningkat secara bertahap dari kondisi saat ini.</w:t>
      </w:r>
    </w:p>
    <w:p>
      <w:pPr>
        <w:pStyle w:val="ListNumber"/>
        <w:spacing w:after="120"/>
      </w:pPr>
      <w:r>
        <w:rPr/>
        <w:t>Program Studi Sistem Informasi wajib memiliki mekanisme pengelolaan, penggunaan, dan pertanggungjawaban dana PkM yang transparan, akuntabel, efektif, dan efisien.</w:t>
      </w:r>
    </w:p>
    <w:p>
      <w:pPr>
        <w:pStyle w:val="ListNumber"/>
        <w:spacing w:after="120"/>
      </w:pPr>
      <w:r>
        <w:rPr/>
        <w:t>Program Studi Sistem Informasi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rP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DKEU menjamin dana PkM per dosen meningkat dari Rp5 juta menuju Rp6,5 juta per tahun, tetap setara/melampaui ambang LAM Teknik.</w:t>
      </w:r>
    </w:p>
    <w:p>
      <w:pPr>
        <w:pStyle w:val="ListNumber"/>
        <w:spacing w:after="120"/>
      </w:pPr>
      <w:r>
        <w:rPr/>
        <w:t>Direktorat Keuangan bersama DPPMP menyusun mekanisme pelaporan persentase dana PkM terhadap total dana perguruan tinggi, ditargetkan meningkat dari 2% menuju 5%.</w:t>
      </w:r>
    </w:p>
    <w:p>
      <w:pPr>
        <w:pStyle w:val="ListNumber"/>
        <w:spacing w:after="120"/>
      </w:pPr>
      <w:r>
        <w:rPr/>
        <w:t>DPPMP mengembangkan kerja sama dengan pemerintah, DUDI, perguruan tinggi, dan lembaga donor untuk meningkatkan diversifikasi sumber pendanaan PkM eksternal, dengan pelaporan proporsi per dosen per tahun.</w:t>
      </w:r>
    </w:p>
    <w:p>
      <w:pPr>
        <w:pStyle w:val="ListNumber"/>
        <w:spacing w:after="120"/>
      </w:pPr>
      <w:r>
        <w:rP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14</w:t>
            </w:r>
          </w:p>
        </w:tc>
        <w:tc>
          <w:tcPr>
            <w:tcW w:type="dxa" w:w="1234"/>
          </w:tcPr>
          <w:p>
            <w:pPr/>
            <w:r/>
            <w:r>
              <w:rPr/>
            </w:r>
            <w:r>
              <w:rPr>
                <w:b w:val="0"/>
              </w:rPr>
              <w:t>Dana PkM per dosen per tahun [IKU]</w:t>
            </w:r>
          </w:p>
        </w:tc>
        <w:tc>
          <w:tcPr>
            <w:tcW w:type="dxa" w:w="1234"/>
          </w:tcPr>
          <w:p>
            <w:pPr/>
            <w:r/>
            <w:r>
              <w:rPr/>
            </w:r>
            <w:r>
              <w:rPr>
                <w:b w:val="0"/>
              </w:rPr>
              <w:t>Rp juta</w:t>
            </w:r>
          </w:p>
        </w:tc>
        <w:tc>
          <w:tcPr>
            <w:tcW w:type="dxa" w:w="1234"/>
          </w:tcPr>
          <w:p>
            <w:pPr/>
            <w:r/>
            <w:r>
              <w:rPr/>
            </w:r>
            <w:r>
              <w:rPr>
                <w:b w:val="0"/>
              </w:rPr>
              <w:t>≥5 (LAM Teknik)</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6.5</w:t>
            </w:r>
          </w:p>
        </w:tc>
      </w:tr>
      <w:tr>
        <w:tc>
          <w:tcPr>
            <w:tcW w:type="dxa" w:w="1234"/>
          </w:tcPr>
          <w:p>
            <w:pPr/>
            <w:r/>
            <w:r>
              <w:rPr/>
            </w:r>
            <w:r>
              <w:rPr>
                <w:b w:val="0"/>
              </w:rPr>
              <w:t>15</w:t>
            </w:r>
          </w:p>
        </w:tc>
        <w:tc>
          <w:tcPr>
            <w:tcW w:type="dxa" w:w="1234"/>
          </w:tcPr>
          <w:p>
            <w:pPr/>
            <w:r/>
            <w:r>
              <w:rPr/>
            </w:r>
            <w:r>
              <w:rPr>
                <w:b w:val="0"/>
              </w:rPr>
              <w:t>Persentase dana PkM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2</w:t>
            </w:r>
          </w:p>
        </w:tc>
        <w:tc>
          <w:tcPr>
            <w:tcW w:type="dxa" w:w="1234"/>
          </w:tcPr>
          <w:p>
            <w:pPr/>
            <w:r/>
            <w:r>
              <w:rPr/>
            </w:r>
            <w:r>
              <w:rPr>
                <w:b w:val="0"/>
              </w:rPr>
              <w:t>3.5</w:t>
            </w:r>
          </w:p>
        </w:tc>
        <w:tc>
          <w:tcPr>
            <w:tcW w:type="dxa" w:w="1234"/>
          </w:tcPr>
          <w:p>
            <w:pPr/>
            <w:r/>
            <w:r>
              <w:rPr/>
            </w:r>
            <w:r>
              <w:rPr>
                <w:b w:val="0"/>
              </w:rPr>
              <w:t>5</w:t>
            </w:r>
          </w:p>
        </w:tc>
      </w:tr>
      <w:tr>
        <w:tc>
          <w:tcPr>
            <w:tcW w:type="dxa" w:w="1234"/>
          </w:tcPr>
          <w:p>
            <w:pPr/>
            <w:r/>
            <w:r>
              <w:rPr/>
            </w:r>
            <w:r>
              <w:rPr/>
              <w:t>*19</w:t>
            </w:r>
          </w:p>
        </w:tc>
        <w:tc>
          <w:tcPr>
            <w:tcW w:type="dxa" w:w="1234"/>
          </w:tcPr>
          <w:p>
            <w:pPr/>
            <w:r/>
            <w:r>
              <w:rPr/>
            </w:r>
            <w:r>
              <w:rPr/>
              <w:t>Pemenuhan pengelolaan dana PkM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r>
        <w:tc>
          <w:tcPr>
            <w:tcW w:type="dxa" w:w="1234"/>
          </w:tcPr>
          <w:p>
            <w:pPr/>
            <w:r/>
            <w:r>
              <w:rPr/>
            </w:r>
            <w:r>
              <w:rPr/>
              <w:t>*20</w:t>
            </w:r>
          </w:p>
        </w:tc>
        <w:tc>
          <w:tcPr>
            <w:tcW w:type="dxa" w:w="1234"/>
          </w:tcPr>
          <w:p>
            <w:pPr/>
            <w:r/>
            <w:r>
              <w:rPr/>
            </w:r>
            <w:r>
              <w:rPr/>
              <w:t>Persentase dana PkM eksternal (luar negeri/dalam negeri/kerja sama DUDI-pemerintah) terhadap total dana PkM per dosen [IKT]</w:t>
            </w:r>
          </w:p>
        </w:tc>
        <w:tc>
          <w:tcPr>
            <w:tcW w:type="dxa" w:w="1234"/>
          </w:tcPr>
          <w:p>
            <w:pPr/>
            <w:r/>
            <w:r>
              <w:rPr/>
            </w:r>
            <w:r>
              <w:rPr/>
              <w:t>%</w:t>
            </w:r>
          </w:p>
        </w:tc>
        <w:tc>
          <w:tcPr>
            <w:tcW w:type="dxa" w:w="1234"/>
          </w:tcPr>
          <w:p>
            <w:pPr/>
            <w:r/>
            <w:r>
              <w:rPr/>
            </w:r>
            <w:r>
              <w:rPr/>
              <w:t>-</w:t>
            </w:r>
          </w:p>
        </w:tc>
        <w:tc>
          <w:tcPr>
            <w:tcW w:type="dxa" w:w="1234"/>
          </w:tcPr>
          <w:p>
            <w:pPr/>
            <w:r/>
            <w:r>
              <w:rPr/>
            </w:r>
            <w:r>
              <w:rPr/>
              <w:t>10</w:t>
            </w:r>
          </w:p>
        </w:tc>
        <w:tc>
          <w:tcPr>
            <w:tcW w:type="dxa" w:w="1234"/>
          </w:tcPr>
          <w:p>
            <w:pPr/>
            <w:r/>
            <w:r>
              <w:rPr/>
            </w:r>
            <w:r>
              <w:rPr/>
              <w:t>15</w:t>
            </w:r>
          </w:p>
        </w:tc>
        <w:tc>
          <w:tcPr>
            <w:tcW w:type="dxa" w:w="1234"/>
          </w:tcPr>
          <w:p>
            <w:pPr/>
            <w:r/>
            <w:r>
              <w:rPr/>
            </w:r>
            <w:r>
              <w:rPr/>
              <w:t>20</w:t>
            </w:r>
          </w:p>
        </w:tc>
      </w:tr>
    </w:tbl>
    <w:p>
      <w:pPr/>
    </w:p>
    <w:p>
      <w:pPr>
        <w:spacing w:before="280" w:after="120"/>
      </w:pPr>
      <w:r>
        <w:rPr>
          <w:b/>
          <w:sz w:val="26"/>
        </w:rPr>
        <w:t>DOKUMEN TERKAIT PELAKSANAAN STANDAR</w:t>
      </w:r>
    </w:p>
    <w:p>
      <w:pPr>
        <w:pStyle w:val="ListNumber"/>
        <w:spacing w:after="120"/>
      </w:pPr>
      <w:r>
        <w:rPr/>
        <w:t>Dokumen kebijakan dan penetapan Standar Masukan PkM Program Studi Sistem Informasi (Surat Keputusan Rektor).</w:t>
      </w:r>
    </w:p>
    <w:p>
      <w:pPr>
        <w:pStyle w:val="ListNumber"/>
        <w:spacing w:after="120"/>
      </w:pPr>
      <w:r>
        <w:rPr/>
        <w:t>Dokumen Renstra PkM dan roadmap PkM program studi yang memuat 4 unsur wajib, beserta laporan kesesuaian kegiatan PkM terhadap roadmap.</w:t>
      </w:r>
    </w:p>
    <w:p>
      <w:pPr>
        <w:pStyle w:val="ListNumber"/>
        <w:spacing w:after="120"/>
      </w:pPr>
      <w:r>
        <w:rPr/>
        <w:t>Buku Panduan PkM FTII/Universitas.</w:t>
      </w:r>
    </w:p>
    <w:p>
      <w:pPr>
        <w:pStyle w:val="ListNumber"/>
        <w:spacing w:after="120"/>
      </w:pPr>
      <w:r>
        <w:rPr/>
        <w:t>Dokumen usulan PkM dan hasil seleksi yang menunjukkan kesesuaian kualifikasi ketua/anggota/tenaga bantu PkM dengan skema.</w:t>
      </w:r>
    </w:p>
    <w:p>
      <w:pPr>
        <w:pStyle w:val="ListNumber"/>
        <w:spacing w:after="120"/>
      </w:pPr>
      <w:r>
        <w:rPr/>
        <w:t>Dokumentasi kegiatan pengembangan kompetensi pelaksana PkM (pelatihan, workshop, seminar, pendampingan proposal hibah, pendampingan artikel ilmiah) dan daftar hadir/partisipasi dosen.</w:t>
      </w:r>
    </w:p>
    <w:p>
      <w:pPr>
        <w:pStyle w:val="ListNumber"/>
        <w:spacing w:after="120"/>
      </w:pPr>
      <w:r>
        <w:rPr/>
        <w:t>Laporan PkM dosen per tahun beserta pelaporan proporsi sumber pendanaan (luar negeri/dalam negeri/PT-mandiri).</w:t>
      </w:r>
    </w:p>
    <w:p>
      <w:pPr>
        <w:pStyle w:val="ListNumber"/>
        <w:spacing w:after="120"/>
      </w:pPr>
      <w:r>
        <w:rPr/>
        <w:t>Daftar tenaga kependidikan dan laboran PkM.</w:t>
      </w:r>
    </w:p>
    <w:p>
      <w:pPr>
        <w:pStyle w:val="ListNumber"/>
        <w:spacing w:after="120"/>
      </w:pPr>
      <w:r>
        <w:rPr/>
        <w:t>Dokumen inventarisasi sarana-prasarana PkM (ruang unit pengelola, sarana referensi ilmiah, prasarana, K3) dan laporan audit fasilitas.</w:t>
      </w:r>
    </w:p>
    <w:p>
      <w:pPr>
        <w:pStyle w:val="ListNumber"/>
        <w:spacing w:after="120"/>
      </w:pPr>
      <w:r>
        <w:rPr/>
        <w:t>Data log aktivitas dan cakupan penggunaan Sistem Informasi PkM.</w:t>
      </w:r>
    </w:p>
    <w:p>
      <w:pPr>
        <w:pStyle w:val="ListNumber"/>
        <w:spacing w:after="120"/>
      </w:pPr>
      <w:r>
        <w:rPr/>
        <w:t>Laporan realisasi dana PkM per dosen dan persentase dana PkM terhadap total dana perguruan tinggi.</w:t>
      </w:r>
    </w:p>
    <w:p>
      <w:pPr>
        <w:pStyle w:val="ListNumber"/>
        <w:spacing w:after="120"/>
      </w:pPr>
      <w:r>
        <w:rPr/>
        <w:t>Dokumen kerja sama pendanaan PkM eksternal (MoU/MoA/IA) beserta proporsi sumber pendanaan per dosen.</w:t>
      </w:r>
    </w:p>
    <w:p>
      <w:pPr>
        <w:pStyle w:val="ListNumber"/>
        <w:spacing w:after="120"/>
      </w:pPr>
      <w:r>
        <w:rPr/>
        <w:t>Laporan survei kepuasan dosen, mahasiswa, dan mitra PkM.</w:t>
      </w:r>
    </w:p>
    <w:p>
      <w:pPr>
        <w:pStyle w:val="ListNumber"/>
        <w:spacing w:after="120"/>
      </w:pPr>
      <w:r>
        <w:rPr/>
        <w:t>Dokumen root-cause analysis dan SWOT tahunan atas keempat sub-standar Masukan PkM, sesuai template Standar Penjaminan Mutu Internal FTII, beserta berita acara pembahasannya dalam RTM.</w:t>
      </w:r>
    </w:p>
    <w:p>
      <w:pPr>
        <w:pStyle w:val="ListNumber"/>
        <w:spacing w:after="120"/>
      </w:pPr>
      <w:r>
        <w:rPr/>
        <w:t>Laporan Audit Mutu Internal (AMI) dan Berita Acara Rapat Tinjauan Manajemen (RTM) atas Standar Masukan PkM.</w:t>
      </w:r>
    </w:p>
    <w:p>
      <w:pPr>
        <w:pStyle w:val="ListNumber"/>
        <w:spacing w:after="120"/>
      </w:pPr>
      <w:r>
        <w:rPr/>
        <w:t>Rencana Tindak Lanjut (RTL) hasil evaluasi dan AMI periode berjalan.</w:t>
      </w:r>
    </w:p>
    <w:p>
      <w:pPr>
        <w:pStyle w:val="ListNumber"/>
        <w:spacing w:after="120"/>
      </w:pPr>
      <w:r>
        <w:rPr/>
        <w:t>Dokumen pemetaan gap Standar Masukan PkM terhadap dokumen rujukan (standarmasukanpkm.docx).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Masukan Penelitian Program Studi Sistem Informasi versi Unggul (standarmasukanpenelitianunggul.docx).</w:t>
      </w:r>
    </w:p>
    <w:p>
      <w:pPr>
        <w:pStyle w:val="ListNumber"/>
        <w:spacing w:after="120"/>
      </w:pPr>
      <w:r>
        <w:rPr/>
        <w:t>Dokumen pemetaan gap Standar Masukan PkM Program Studi Sistem Informasi (standarmasukanpkm.docx).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