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MASUKAN PkM</w:t>
      </w:r>
    </w:p>
    <w:p>
      <w:pPr>
        <w:jc w:val="center"/>
      </w:pPr>
      <w:r>
        <w:rPr>
          <w:b/>
          <w:sz w:val="26"/>
        </w:rPr>
        <w:t>PROGRAM STUDI TEKNIK INFORMATIKA</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Pr/>
    </w:p>
    <w:p>
      <w:pPr>
        <w:spacing w:after="120"/>
      </w:pPr>
      <w:r>
        <w:rPr>
          <w:b w:val="0"/>
          <w:i w:val="0"/>
        </w:rPr>
        <w:t>Dokumen ini merupakan revisi ke-2 dari Standar Masukan PkM Program Studi Teknik Informatika UNISBANK. Revisi pertama disusun berdasarkan hasil pemetaan gap terhadap Panduan SPMI Program Sarjana dan Sarjana Terapan, Matriks Penilaian LAM Teknik APS-AV 2025 1.0, Standar Terakreditasi Unggul LAM INFOKOM, serta praktik baik SPMI perguruan tinggi sejenis (standarmasukanpkm.docx). Revisi ke-2 ini merestrukturisasi dokumen menjadi 4 (empat) sub-standar terpisah — Standar Pelaksana PkM, Standar Sarana dan Prasarana PkM, Standar Pengelolaan PkM, dan Standar Pendanaan dan Pembiayaan PkM — mengikuti pola yang telah diterapkan pada Standar Masukan Penelitian Program Studi Teknik Informatika versi Unggul, agar struktur dokumen SPMI PkM FTII konsisten dengan turunan SN-Dikti (Permendikbudristek Nomor 53 Tahun 2023) dan lebih mudah diaudit per komponen. Seluruh ambang indikator kuantitatif pada dokumen ini ditetapkan setara atau melampaui skor tertinggi (skor 4) pada instrumen penilaian LAM Teknik dan kriteria Unggul LAM INFOKOM.</w:t>
      </w:r>
    </w:p>
    <w:p>
      <w:pPr/>
    </w:p>
    <w:p>
      <w:pPr>
        <w:spacing w:before="280" w:after="120"/>
      </w:pPr>
      <w:r>
        <w:rPr>
          <w:b/>
          <w:sz w:val="26"/>
        </w:rPr>
        <w:t>1. RASIONAL</w:t>
      </w:r>
    </w:p>
    <w:p>
      <w:pPr>
        <w:spacing w:after="120"/>
      </w:pPr>
      <w:r>
        <w:rPr>
          <w:b w:val="0"/>
          <w:i w:val="0"/>
        </w:rPr>
        <w:t>Fakultas Teknologi Informasi dan Industri (FTII) UNISBANK menetapkan Standar Masukan PkM sebagai landasan penyediaan sumber daya Pengabdian kepada Masyarakat (PkM) — Rencana Strategis (Renstra) dan roadmap PkM, Buku Panduan PkM, sumber daya manusia pelaksana, sarana dan prasarana, sistem informasi, serta pembiayaan — yang menjamin terselenggaranya PkM bermutu sesuai Visi FTII 2035 dan Peraturan Menteri Pendidikan, Kebudayaan, Riset, dan Teknologi Nomor 53 Tahun 2023 tentang Penjaminan Mutu Pendidikan Tinggi.</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kelengkapan roadmap PkM, kualifikasi dan pengembangan kompetensi pelaksana, dana PkM per dosen, serta diversifikasi sumber pendanaan — dan memenuhi deskriptor tertinggi kriteria terkait sumber daya PkM pada instrumen Unggul LAM INFOKOM.</w:t>
      </w:r>
    </w:p>
    <w:p>
      <w:pPr>
        <w:spacing w:after="120"/>
      </w:pPr>
      <w:r>
        <w:rPr>
          <w:b w:val="0"/>
          <w:i w:val="0"/>
        </w:rPr>
        <w:t>Penyusunan standar ini didasarkan pada hasil analisis kesenjangan (gap analysis) terhadap dokumen Standar Masukan PkM Program Studi Teknik Informatika sebelumnya, yang mengidentifikasi empat area prioritas penyesuaian: (a) perincian roadmap/peta jalan PkM menjadi 4 unsur konkret dan terukur; (b) penambahan indikator persentase dana PkM terhadap total dana perguruan tinggi; (c) perincian indikator sarana-prasarana PkM (termasuk 4 aspek K3) menjadi checklist konkret; dan (d) pelaporan proporsi sumber pendanaan PkM per dosen. Keterlibatan mahasiswa dalam kegiatan PkM diatur pada Standar Proses PkM Program Studi Teknik Informatika versi Unggul; indikator publikasi dan HKI hasil PkM diatur pada Standar Luaran PkM Program Studi Teknik Informatika versi Unggul, agar tidak terjadi duplikasi indikator antar-standar.</w:t>
      </w:r>
    </w:p>
    <w:p>
      <w:pPr>
        <w:spacing w:before="160" w:after="80"/>
      </w:pPr>
      <w:r>
        <w:rPr>
          <w:b/>
          <w:sz w:val="23"/>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Program Studi Teknik Informatika wajib melaksanakan Analisis Faktor Keberhasilan dan Penghambat (root-cause analysis) serta analisis SWOT paling sedikit 1 (satu) kali setiap tahun akademik atas ketercapaian seluruh sub-standar Masukan PkM, sebagai bagian wajib pembahasan Rapat Tinjauan Manajemen (RTM) dan dasar penyusunan Rencana Tindak Lanjut (RTL).</w:t>
      </w:r>
    </w:p>
    <w:p>
      <w:pPr>
        <w:spacing w:after="120"/>
      </w:pPr>
      <w:r>
        <w:rPr>
          <w:b w:val="0"/>
          <w:i w:val="0"/>
        </w:rPr>
        <w:t>Melalui penerapan Standar Masukan PkM versi Unggul yang telah direstrukturisasi ini, Program Studi Teknik Informatika FTII UNISBANK diharapkan memiliki basis sumber daya PkM yang setara dengan program studi berakreditasi Unggul, sekaligus berfungsi ganda sebagai instrumen penjaminan mutu internal (SPMI) dan instrumen kesiapan akreditasi eksternal LAM Teknik dan LAM INFOKOM.</w:t>
      </w:r>
    </w:p>
    <w:p>
      <w:pPr>
        <w:spacing w:before="320" w:after="120"/>
      </w:pPr>
      <w:r>
        <w:rPr>
          <w:b/>
          <w:sz w:val="28"/>
        </w:rPr>
        <w:t>STANDAR ISI PkM</w:t>
      </w:r>
    </w:p>
    <w:p>
      <w:pPr>
        <w:spacing w:before="200" w:after="80"/>
      </w:pPr>
      <w:r>
        <w:rPr>
          <w:b/>
          <w:sz w:val="25"/>
        </w:rPr>
        <w:t>1. Daftar Istilah</w:t>
      </w:r>
    </w:p>
    <w:p>
      <w:pPr>
        <w:pStyle w:val="ListNumber"/>
        <w:spacing w:after="120"/>
      </w:pPr>
      <w:r>
        <w:rPr/>
        <w:t>Rencana Induk PkM (RIP)/Roadmap PkM adalah dokumen perencanaan jangka menengah-panjang yang memuat peta jalan, tema, dan target kegiatan PkM fakultas dan program studi, selaras dengan VMTS dan kebutuhan Dunia Usaha, Dunia Industri, dan Dunia Kerja (DUDIKA).</w:t>
      </w:r>
    </w:p>
    <w:p>
      <w:pPr>
        <w:pStyle w:val="ListNumber"/>
        <w:spacing w:after="120"/>
      </w:pPr>
      <w:r>
        <w:rPr/>
        <w:t>Review Proposal PkM adalah proses penilaian usulan kegiatan PkM oleh reviewer bersertifikasi/legal untuk menjamin mutu, kelayakan, dan kesesuaian rencana pelaksanaan sebelum kegiatan disetujui.</w:t>
      </w:r>
    </w:p>
    <w:p>
      <w:pPr>
        <w:pStyle w:val="ListNumber"/>
        <w:spacing w:after="120"/>
      </w:pPr>
      <w:r>
        <w:rPr/>
        <w:t>Bukti Proses PkM adalah kelengkapan dokumen yang menyertai siklus pelaksanaan PkM, mencakup sekurang-kurangnya 9 (sembilan) unsur: tata cara review, instrumen penilaian, legalitas reviewer, hasil review, legalitas penugasan/kerja sama, kontrak, berita acara monev, laporan AMI, dan dokumentasi luaran.</w:t>
      </w:r>
    </w:p>
    <w:p>
      <w:pPr>
        <w:pStyle w:val="ListNumber"/>
        <w:spacing w:after="120"/>
      </w:pPr>
      <w:r>
        <w:rPr/>
        <w:t>Legalitas Penugasan Reviewer adalah status resmi seorang reviewer yang ditetapkan melalui Surat Tugas/SK oleh pejabat berwenang untuk melakukan penilaian proposal PkM.</w:t>
      </w:r>
    </w:p>
    <w:p>
      <w:pPr>
        <w:pStyle w:val="ListNumber"/>
        <w:spacing w:after="120"/>
      </w:pPr>
      <w:r>
        <w:rPr/>
        <w:t>Standar Operasional Prosedur (SOP) Proses PkM adalah dokumen acuan tata cara pelaksanaan kegiatan PkM mulai dari pengusulan hingga pelaporan yang wajib dipatuhi oleh seluruh pelaksana PkM.</w:t>
      </w:r>
    </w:p>
    <w:p>
      <w:pPr>
        <w:spacing w:before="200" w:after="80"/>
      </w:pPr>
      <w:r>
        <w:rPr>
          <w:b/>
          <w:sz w:val="25"/>
        </w:rPr>
        <w:t>2. Pihak Yang Bertanggung Jawab Untuk Memenuhi Standar</w:t>
      </w:r>
    </w:p>
    <w:p>
      <w:pPr>
        <w:pStyle w:val="ListNumber"/>
        <w:spacing w:after="120"/>
      </w:pPr>
      <w:r>
        <w:rPr/>
        <w:t>Penetapan: Rektor atas usulan Dekan FTII melalui mekanisme SPMI, mempertimbangkan peraturan perundang-undangan, VMTS Fakultas, RIP/roadmap PkM, hasil pemetaan gap terhadap 5 dokumen rujukan, dan hasil evaluasi mutu berkelanjutan periode sebelumnya.</w:t>
      </w:r>
    </w:p>
    <w:p>
      <w:pPr>
        <w:pStyle w:val="ListNumber"/>
        <w:spacing w:after="120"/>
      </w:pPr>
      <w:r>
        <w:rPr/>
        <w:t>Pelaksanaan: Dekan FTII; Wakil Rektor Bidang Akademik dan Kemahasiswaan; Direktorat Penelitian, Pengabdian kepada Masyarakat dan Publikasi (DPPMP); Ketua Program Studi; Gugus Kendali Mutu (GKM) Program Studi; reviewer internal; Dosen; Mahasiswa; mitra DUDI, pemerintah, dan perguruan tinggi nasional/internasional.</w:t>
      </w:r>
    </w:p>
    <w:p>
      <w:pPr>
        <w:pStyle w:val="ListNumber"/>
        <w:spacing w:after="120"/>
      </w:pPr>
      <w:r>
        <w:rPr/>
        <w:t>Evaluasi: Direktorat Jaminan Mutu (DJM); Unit Jaminan Mutu (UJM) Fakultas; GKM Program Studi; DPPMP; Auditor Mutu Internal — melalui Monitoring dan Evaluasi (Monev), Audit Mutu Internal (AMI), evaluasi kesesuaian roadmap, evaluasi kelengkapan bukti proses, evaluasi keterlibatan mahasiswa, dan evaluasi kerja sama PkM.</w:t>
      </w:r>
    </w:p>
    <w:p>
      <w:pPr>
        <w:pStyle w:val="ListNumber"/>
        <w:spacing w:after="120"/>
      </w:pPr>
      <w:r>
        <w:rPr/>
        <w:t>Pengendalian: Rektor; DJM; UJM Fakultas; Dekan FTII; Ketua Program Studi; GKM — berdasarkan hasil Monev, AMI, laporan kelengkapan bukti proses, laporan keselamatan kerja, serta laporan kerja sama PkM.</w:t>
      </w:r>
    </w:p>
    <w:p>
      <w:pPr>
        <w:pStyle w:val="ListNumber"/>
        <w:spacing w:after="120"/>
      </w:pPr>
      <w:r>
        <w:rPr/>
        <w:t>Peningkatan: Rektor; Dekan FTII; DJM; UJM; GKM; Ketua Program Studi; DPPMP — melalui penguatan kesesuaian roadmap, perluasan kerja sama PkM, penguatan keselamatan kerja, dan penyempurnaan mekanisme monev-pengelolaan PkM melalui siklus PPEPP berkelanjutan.</w:t>
      </w:r>
    </w:p>
    <w:p>
      <w:pPr>
        <w:spacing w:before="200" w:after="80"/>
      </w:pPr>
      <w:r>
        <w:rPr>
          <w:b/>
          <w:sz w:val="25"/>
        </w:rPr>
        <w:t>3. Pernyataan Isi Standar Isi PkM</w:t>
      </w:r>
    </w:p>
    <w:p>
      <w:pPr>
        <w:pStyle w:val="ListNumber"/>
        <w:spacing w:after="120"/>
      </w:pPr>
      <w:r>
        <w:rPr/>
        <w:t>Program Studi Teknik Informatika wajib memiliki dan menerapkan Standar Perencanaan PkM yang ditetapkan melalui keputusan Rektor dan ditinjau paling sedikit satu kali dalam satu siklus Renstra.</w:t>
      </w:r>
    </w:p>
    <w:p>
      <w:pPr>
        <w:pStyle w:val="ListNumber"/>
        <w:spacing w:after="120"/>
      </w:pPr>
      <w:r>
        <w:rPr/>
        <w:t>DPPMP wajib menjamin tersedianya bukti pelaksanaan proses PkM yang mencakup sekurang-kurangnya 9 unsur (tata cara review, instrumen penilaian, legalitas reviewer, hasil review, legalitas penugasan/kerja sama, kontrak, berita acara monev, laporan AMI, dokumentasi luaran), dengan persentase kelengkapan bukti proses paling sedikit 90% pada tahun pertama, meningkat menjadi 100% pada tahun ketiga.</w:t>
      </w:r>
    </w:p>
    <w:p>
      <w:pPr>
        <w:pStyle w:val="ListNumber"/>
        <w:spacing w:after="120"/>
      </w:pPr>
      <w:r>
        <w:rPr/>
        <w:t>Program Studi Teknik Informatika wajib menjamin persentase kegiatan PkM yang dilaksanakan sesuai pedoman/SOP proses PkM paling sedikit 90% pada tahun pertama, meningkat menjadi 100% pada tahun ketiga.</w:t>
      </w:r>
    </w:p>
    <w:p>
      <w:pPr>
        <w:pStyle w:val="ListNumber"/>
        <w:spacing w:after="120"/>
      </w:pPr>
      <w:r>
        <w:rPr/>
        <w:t>Program Studi Teknik Informatika wajib menjamin persentase proposal PkM yang direview oleh reviewer dengan legalitas penugasan sah paling sedikit 95% pada tahun pertama, meningkat menjadi 100% pada tahun ketiga.</w:t>
      </w:r>
    </w:p>
    <w:p>
      <w:pPr>
        <w:pStyle w:val="ListNumber"/>
        <w:spacing w:after="120"/>
      </w:pPr>
      <w:r>
        <w:rPr/>
        <w:t>Program Studi Teknik Informatika wajib memiliki Rencana Induk PkM (RIP)/roadmap PkM fakultas dan program studi yang selaras dengan VMTS dan kebutuhan DUDIKA, digunakan sebagai acuan seluruh kegiatan PkM dosen dan mahasiswa.</w:t>
      </w:r>
    </w:p>
    <w:p>
      <w:pPr>
        <w:pStyle w:val="ListNumber"/>
        <w:spacing w:after="120"/>
      </w:pPr>
      <w:r>
        <w:rPr/>
        <w:t>Program Studi Teknik Informatika wajib menjamin persentase kegiatan PkM yang sesuai dengan RIP/roadmap PkM paling sedikit 75% pada tahun pertama, meningkat menjadi paling sedikit 90% pada tahun ketiga, dibuktikan melalui pemetaan judul PkM terhadap peta jalan dan evaluasi keselarasan berkala.</w:t>
      </w:r>
    </w:p>
    <w:p>
      <w:pPr>
        <w:pStyle w:val="ListNumber"/>
        <w:spacing w:after="120"/>
      </w:pPr>
      <w:r>
        <w:rPr/>
        <w:t>Program Studi Teknik Informatika wajib melaksanakan sosialisasi RIP/roadmap PkM kepada dosen dan mahasiswa paling sedikit satu kali per tahun.</w:t>
      </w:r>
    </w:p>
    <w:p>
      <w:pPr>
        <w:spacing w:before="200" w:after="80"/>
      </w:pPr>
      <w:r>
        <w:rPr>
          <w:b/>
          <w:sz w:val="25"/>
        </w:rPr>
        <w:t>4. Strategi Pencapaian Standar</w:t>
      </w:r>
    </w:p>
    <w:p>
      <w:pPr>
        <w:pStyle w:val="ListNumber"/>
        <w:spacing w:after="120"/>
      </w:pPr>
      <w:r>
        <w:rPr/>
        <w:t>Rektor menetapkan kebijakan Standar Perencanaan PkM FTII sebagai bagian dari SPMI Universitas, dengan ambang indikator disetarakan pada skor tertinggi instrumen LAM Teknik dan kriteria Unggul LAM INFOKOM.</w:t>
      </w:r>
    </w:p>
    <w:p>
      <w:pPr>
        <w:pStyle w:val="ListNumber"/>
        <w:spacing w:after="120"/>
      </w:pPr>
      <w:r>
        <w:rPr/>
        <w:t>DPPMP menyusun dan menerapkan checklist bukti proses PkM (9 unsur) dalam format terukur dan mendigitalisasikan pemantauan kelengkapannya menuju 100%.</w:t>
      </w:r>
    </w:p>
    <w:p>
      <w:pPr>
        <w:pStyle w:val="ListNumber"/>
        <w:spacing w:after="120"/>
      </w:pPr>
      <w:r>
        <w:rPr/>
        <w:t>DPPMP bersama Dekan FTII menyusun dan memutakhirkan RIP/roadmap PkM fakultas dan program studi, serta melaksanakan sosialisasi kepada dosen dan mahasiswa paling sedikit satu kali per tahun.</w:t>
      </w:r>
    </w:p>
    <w:p>
      <w:pPr>
        <w:pStyle w:val="ListNumber"/>
        <w:spacing w:after="120"/>
      </w:pPr>
      <w:r>
        <w:rPr/>
        <w:t>Ketua Program Studi memastikan setiap judul PkM dipetakan terhadap roadmap, dengan verifikasi kesesuaian dilakukan oleh GKM Program Studi sebelum PkM dilaksanakan, menuju target kesesuaian 90%.</w:t>
      </w:r>
    </w:p>
    <w:p>
      <w:pPr>
        <w:spacing w:before="200" w:after="80"/>
      </w:pPr>
      <w:r>
        <w:rPr>
          <w:b/>
          <w:sz w:val="25"/>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Ketersediaan RIP/roadmap PkM fakultas dan prodi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w:t>
            </w:r>
          </w:p>
        </w:tc>
        <w:tc>
          <w:tcPr>
            <w:tcW w:type="dxa" w:w="1234"/>
          </w:tcPr>
          <w:p>
            <w:pPr/>
            <w:r/>
            <w:r>
              <w:rPr/>
            </w:r>
            <w:r>
              <w:rPr>
                <w:b w:val="0"/>
              </w:rPr>
              <w:t>Persentase kelengkapan bukti proses PkM (9 unsur) [IKU - baru]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3</w:t>
            </w:r>
          </w:p>
        </w:tc>
        <w:tc>
          <w:tcPr>
            <w:tcW w:type="dxa" w:w="1234"/>
          </w:tcPr>
          <w:p>
            <w:pPr/>
            <w:r/>
            <w:r>
              <w:rPr/>
            </w:r>
            <w:r>
              <w:rPr>
                <w:b w:val="0"/>
              </w:rPr>
              <w:t>Persentase kegiatan PkM sesuai pedoman/SOP proses [IKU - baru]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4</w:t>
            </w:r>
          </w:p>
        </w:tc>
        <w:tc>
          <w:tcPr>
            <w:tcW w:type="dxa" w:w="1234"/>
          </w:tcPr>
          <w:p>
            <w:pPr/>
            <w:r/>
            <w:r>
              <w:rPr/>
            </w:r>
            <w:r>
              <w:rPr>
                <w:b w:val="0"/>
              </w:rPr>
              <w:t>Persentase proposal direview reviewer legal [IKU - baru]</w:t>
            </w:r>
          </w:p>
        </w:tc>
        <w:tc>
          <w:tcPr>
            <w:tcW w:type="dxa" w:w="1234"/>
          </w:tcPr>
          <w:p>
            <w:pPr/>
            <w:r/>
            <w:r>
              <w:rPr/>
            </w:r>
            <w:r>
              <w:rPr>
                <w:b w:val="0"/>
              </w:rPr>
              <w:t>%</w:t>
            </w:r>
          </w:p>
        </w:tc>
        <w:tc>
          <w:tcPr>
            <w:tcW w:type="dxa" w:w="1234"/>
          </w:tcPr>
          <w:p>
            <w:pPr/>
            <w:r/>
            <w:r>
              <w:rPr/>
            </w:r>
            <w:r>
              <w:rPr>
                <w:b w:val="0"/>
              </w:rPr>
              <w:t>≥95-100 (R4)</w:t>
            </w:r>
          </w:p>
        </w:tc>
        <w:tc>
          <w:tcPr>
            <w:tcW w:type="dxa" w:w="1234"/>
          </w:tcPr>
          <w:p>
            <w:pPr/>
            <w:r/>
            <w:r>
              <w:rPr/>
            </w:r>
            <w:r>
              <w:rPr>
                <w:b w:val="0"/>
              </w:rPr>
              <w:t>95</w:t>
            </w:r>
          </w:p>
        </w:tc>
        <w:tc>
          <w:tcPr>
            <w:tcW w:type="dxa" w:w="1234"/>
          </w:tcPr>
          <w:p>
            <w:pPr/>
            <w:r/>
            <w:r>
              <w:rPr/>
            </w:r>
            <w:r>
              <w:rPr>
                <w:b w:val="0"/>
              </w:rPr>
              <w:t>98</w:t>
            </w:r>
          </w:p>
        </w:tc>
        <w:tc>
          <w:tcPr>
            <w:tcW w:type="dxa" w:w="1234"/>
          </w:tcPr>
          <w:p>
            <w:pPr/>
            <w:r/>
            <w:r>
              <w:rPr/>
            </w:r>
            <w:r>
              <w:rPr>
                <w:b w:val="0"/>
              </w:rPr>
              <w:t>100</w:t>
            </w:r>
          </w:p>
        </w:tc>
      </w:tr>
      <w:tr>
        <w:tc>
          <w:tcPr>
            <w:tcW w:type="dxa" w:w="1234"/>
          </w:tcPr>
          <w:p>
            <w:pPr/>
            <w:r/>
            <w:r>
              <w:rPr/>
            </w:r>
            <w:r>
              <w:rPr>
                <w:b w:val="0"/>
              </w:rPr>
              <w:t>5</w:t>
            </w:r>
          </w:p>
        </w:tc>
        <w:tc>
          <w:tcPr>
            <w:tcW w:type="dxa" w:w="1234"/>
          </w:tcPr>
          <w:p>
            <w:pPr/>
            <w:r/>
            <w:r>
              <w:rPr/>
            </w:r>
            <w:r>
              <w:rPr>
                <w:b w:val="0"/>
              </w:rPr>
              <w:t>Persentase kegiatan PkM sesuai RIP/roadmap [IKU - baru]</w:t>
            </w:r>
          </w:p>
        </w:tc>
        <w:tc>
          <w:tcPr>
            <w:tcW w:type="dxa" w:w="1234"/>
          </w:tcPr>
          <w:p>
            <w:pPr/>
            <w:r/>
            <w:r>
              <w:rPr/>
            </w:r>
            <w:r>
              <w:rPr>
                <w:b w:val="0"/>
              </w:rPr>
              <w:t>%</w:t>
            </w:r>
          </w:p>
        </w:tc>
        <w:tc>
          <w:tcPr>
            <w:tcW w:type="dxa" w:w="1234"/>
          </w:tcPr>
          <w:p>
            <w:pPr/>
            <w:r/>
            <w:r>
              <w:rPr/>
            </w:r>
            <w:r>
              <w:rPr>
                <w:b w:val="0"/>
              </w:rPr>
              <w:t>≥75-90 (R4)</w:t>
            </w:r>
          </w:p>
        </w:tc>
        <w:tc>
          <w:tcPr>
            <w:tcW w:type="dxa" w:w="1234"/>
          </w:tcPr>
          <w:p>
            <w:pPr/>
            <w:r/>
            <w:r>
              <w:rPr/>
            </w:r>
            <w:r>
              <w:rPr>
                <w:b w:val="0"/>
              </w:rPr>
              <w:t>75</w:t>
            </w:r>
          </w:p>
        </w:tc>
        <w:tc>
          <w:tcPr>
            <w:tcW w:type="dxa" w:w="1234"/>
          </w:tcPr>
          <w:p>
            <w:pPr/>
            <w:r/>
            <w:r>
              <w:rPr/>
            </w:r>
            <w:r>
              <w:rPr>
                <w:b w:val="0"/>
              </w:rPr>
              <w:t>82</w:t>
            </w:r>
          </w:p>
        </w:tc>
        <w:tc>
          <w:tcPr>
            <w:tcW w:type="dxa" w:w="1234"/>
          </w:tcPr>
          <w:p>
            <w:pPr/>
            <w:r/>
            <w:r>
              <w:rPr/>
            </w:r>
            <w:r>
              <w:rPr>
                <w:b w:val="0"/>
              </w:rPr>
              <w:t>90</w:t>
            </w:r>
          </w:p>
        </w:tc>
      </w:tr>
      <w:tr>
        <w:tc>
          <w:tcPr>
            <w:tcW w:type="dxa" w:w="1234"/>
          </w:tcPr>
          <w:p>
            <w:pPr/>
            <w:r/>
            <w:r>
              <w:rPr/>
            </w:r>
            <w:r>
              <w:rPr>
                <w:b w:val="0"/>
              </w:rPr>
              <w:t>6</w:t>
            </w:r>
          </w:p>
        </w:tc>
        <w:tc>
          <w:tcPr>
            <w:tcW w:type="dxa" w:w="1234"/>
          </w:tcPr>
          <w:p>
            <w:pPr/>
            <w:r/>
            <w:r>
              <w:rPr/>
            </w:r>
            <w:r>
              <w:rPr>
                <w:b w:val="0"/>
              </w:rPr>
              <w:t>Sosialisasi RIP/roadmap PkM [IKT - baru]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bl>
    <w:p>
      <w:pPr/>
    </w:p>
    <w:p>
      <w:pPr>
        <w:spacing w:before="280" w:after="120"/>
      </w:pPr>
      <w:r>
        <w:rPr>
          <w:b/>
          <w:sz w:val="26"/>
        </w:rPr>
        <w:t>STANDAR PELAKSANA PkM</w:t>
      </w:r>
    </w:p>
    <w:p>
      <w:pPr>
        <w:spacing w:before="160" w:after="80"/>
      </w:pPr>
      <w:r>
        <w:rPr>
          <w:b/>
          <w:sz w:val="23"/>
        </w:rPr>
        <w:t>1. Daftar Istilah</w:t>
      </w:r>
    </w:p>
    <w:p>
      <w:pPr>
        <w:spacing w:after="120"/>
      </w:pPr>
      <w:r>
        <w:rPr>
          <w:b w:val="0"/>
          <w:i w:val="0"/>
        </w:rPr>
        <w:t>Ketua Pelaksana adalah dosen yang bertanggung jawab memimpin pelaksanaan suatu kegiatan PkM, memenuhi kualifikasi dan persyaratan sesuai skema PkM yang berlaku.</w:t>
      </w:r>
    </w:p>
    <w:p>
      <w:pPr>
        <w:spacing w:after="120"/>
      </w:pPr>
      <w:r>
        <w:rPr>
          <w:b w:val="0"/>
          <w:i w:val="0"/>
        </w:rPr>
        <w:t>Anggota Pelaksana adalah dosen dan/atau mahasiswa yang terlibat dalam pelaksanaan PkM di bawah koordinasi ketua pelaksana.</w:t>
      </w:r>
    </w:p>
    <w:p>
      <w:pPr>
        <w:spacing w:after="120"/>
      </w:pPr>
      <w:r>
        <w:rPr>
          <w:b w:val="0"/>
          <w:i w:val="0"/>
        </w:rPr>
        <w:t>Tenaga Bantu PkM adalah tenaga kependidikan, laboran, atau mahasiswa yang mendukung pelaksanaan teknis kegiatan PkM.</w:t>
      </w:r>
    </w:p>
    <w:p>
      <w:pPr>
        <w:spacing w:after="120"/>
      </w:pPr>
      <w:r>
        <w:rPr>
          <w:b w:val="0"/>
          <w:i w:val="0"/>
        </w:rPr>
        <w:t>Skema PkM adalah kategori/jenis program PkM yang ditetapkan Buku Panduan PkM, memuat persyaratan kualifikasi pelaksana dan mekanisme pendanaan.</w:t>
      </w:r>
    </w:p>
    <w:p>
      <w:pPr>
        <w:spacing w:after="120"/>
      </w:pPr>
      <w:r>
        <w:rPr>
          <w:b w:val="0"/>
          <w:i w:val="0"/>
        </w:rPr>
        <w:t>Pengembangan Kompetensi Pelaksana PkM adalah kegiatan pelatihan, workshop, seminar, pendampingan penyusunan proposal hibah, dan pendampingan penulisan artikel ilmiah bagi dosen pelaksana PkM.</w:t>
      </w:r>
    </w:p>
    <w:p>
      <w:pPr>
        <w:spacing w:before="160" w:after="80"/>
      </w:pPr>
      <w:r>
        <w:rPr>
          <w:b/>
          <w:sz w:val="23"/>
        </w:rPr>
        <w:t>2. Pihak Yang Bertanggung Jawab Untuk Memenuhi Standar</w:t>
      </w:r>
    </w:p>
    <w:p>
      <w:pPr>
        <w:pStyle w:val="ListBullet"/>
        <w:spacing w:after="80"/>
      </w:pPr>
      <w:r>
        <w:rPr/>
        <w:t>Rektor, dalam menetapkan kebijakan pengelolaan sumber daya manusia pelaksana PkM.</w:t>
      </w:r>
    </w:p>
    <w:p>
      <w:pPr>
        <w:pStyle w:val="ListBullet"/>
        <w:spacing w:after="80"/>
      </w:pPr>
      <w:r>
        <w:rPr/>
        <w:t>Direktorat Penelitian, Pengabdian kepada Masyarakat dan Publikasi (DPPMP), dalam penyelenggaraan kegiatan pengembangan kompetensi pelaksana PkM dan verifikasi kualifikasi.</w:t>
      </w:r>
    </w:p>
    <w:p>
      <w:pPr>
        <w:pStyle w:val="ListBullet"/>
        <w:spacing w:after="80"/>
      </w:pPr>
      <w:r>
        <w:rPr/>
        <w:t>Dekan FTII, dalam pemantauan produktivitas PkM dosen tingkat program studi.</w:t>
      </w:r>
    </w:p>
    <w:p>
      <w:pPr>
        <w:pStyle w:val="ListBullet"/>
        <w:spacing w:after="80"/>
      </w:pPr>
      <w:r>
        <w:rPr/>
        <w:t>Ketua Program Studi, dalam verifikasi kesesuaian kualifikasi ketua/anggota/tenaga bantu PkM dengan skema.</w:t>
      </w:r>
    </w:p>
    <w:p>
      <w:pPr>
        <w:pStyle w:val="ListBullet"/>
        <w:spacing w:after="80"/>
      </w:pPr>
      <w:r>
        <w:rPr/>
        <w:t>Direktorat Sumber Daya Manusia, dalam pengelolaan tenaga kependidikan dan laboran pendukung PkM.</w:t>
      </w:r>
    </w:p>
    <w:p>
      <w:pPr>
        <w:pStyle w:val="ListBullet"/>
        <w:spacing w:after="80"/>
      </w:pPr>
      <w:r>
        <w:rPr/>
        <w:t>Gugus Kendali Mutu (GKM) Program Studi, dalam validasi data partisipasi dan kinerja pelaksana PkM setiap semester.</w:t>
      </w:r>
    </w:p>
    <w:p>
      <w:pPr>
        <w:spacing w:before="160" w:after="80"/>
      </w:pPr>
      <w:r>
        <w:rPr>
          <w:b/>
          <w:sz w:val="23"/>
        </w:rPr>
        <w:t>3. Pernyataan Isi Standar Pelaksana PkM</w:t>
      </w:r>
    </w:p>
    <w:p>
      <w:pPr>
        <w:pStyle w:val="ListNumber"/>
        <w:spacing w:after="120"/>
      </w:pPr>
      <w:r>
        <w:rPr/>
        <w:t>Program Studi Teknik Informatika wajib menetapkan persyaratan dan kualifikasi ketua pelaksana, anggota, dan tenaga bantu PkM sesuai skema PkM yang berlaku, mengacu Buku Panduan PkM.</w:t>
      </w:r>
    </w:p>
    <w:p>
      <w:pPr>
        <w:pStyle w:val="ListNumber"/>
        <w:spacing w:after="120"/>
      </w:pPr>
      <w:r>
        <w:rPr/>
        <w:t>Program Studi Teknik Informatika wajib menyelenggarakan paling sedikit 3 (tiga) kegiatan pengembangan kompetensi pelaksana PkM per tahun (pelatihan, workshop, seminar, pendampingan penyusunan proposal hibah, pendampingan penulisan artikel ilmiah), dengan target partisipasi paling sedikit 95% dosen mengikuti minimal satu kegiatan per tahun.</w:t>
      </w:r>
    </w:p>
    <w:p>
      <w:pPr>
        <w:pStyle w:val="ListNumber"/>
        <w:spacing w:after="120"/>
      </w:pPr>
      <w:r>
        <w:rPr/>
        <w:t>Program Studi Teknik Informatika wajib menjamin setiap dosen tetap melaksanakan paling sedikit satu kegiatan PkM per tahun sesuai bidang keahlian dan roadmap PkM, dengan pelaporan proporsi sumber pendanaan (luar negeri, dalam negeri, PT-mandiri) per dosen per tahun untuk mendukung penilaian akreditasi berbasis rasio.</w:t>
      </w:r>
    </w:p>
    <w:p>
      <w:pPr>
        <w:pStyle w:val="ListNumber"/>
        <w:spacing w:after="120"/>
      </w:pPr>
      <w:r>
        <w:rPr/>
        <w:t>Program Studi Teknik Informatika wajib menyediakan tenaga kependidikan dan laboran yang kompeten untuk mendukung pelaksanaan PkM sesuai kebutuhan program studi.</w:t>
      </w:r>
    </w:p>
    <w:p>
      <w:pPr>
        <w:spacing w:before="160" w:after="80"/>
      </w:pPr>
      <w:r>
        <w:rPr>
          <w:b/>
          <w:sz w:val="23"/>
        </w:rPr>
        <w:t>4. Strategi Pencapaian Standar</w:t>
      </w:r>
    </w:p>
    <w:p>
      <w:pPr>
        <w:pStyle w:val="ListNumber"/>
        <w:spacing w:after="120"/>
      </w:pPr>
      <w:r>
        <w:rPr/>
        <w:t>Rektor menetapkan kebijakan Standar Pelaksana PkM sebagai bagian dari SPMI Universitas, dengan ambang indikator disetarakan pada skor tertinggi instrumen LAM Teknik dan kriteria Unggul LAM INFOKOM.</w:t>
      </w:r>
    </w:p>
    <w:p>
      <w:pPr>
        <w:pStyle w:val="ListNumber"/>
        <w:spacing w:after="120"/>
      </w:pPr>
      <w:r>
        <w:rPr/>
        <w:t>DPPMP menyelenggarakan paling sedikit 3 kegiatan pengembangan kompetensi pelaksana PkM per tahun (termasuk pelatihan penyusunan proposal hibah dan penulisan artikel ilmiah) serta memantau tingkat partisipasi dosen menuju ambang 95%.</w:t>
      </w:r>
    </w:p>
    <w:p>
      <w:pPr>
        <w:pStyle w:val="ListNumber"/>
        <w:spacing w:after="120"/>
      </w:pPr>
      <w:r>
        <w:rPr/>
        <w:t>DPPMP memastikan setiap dosen tetap melaksanakan sekurang-kurangnya satu kegiatan PkM per tahun sesuai roadmap, dan mengembangkan sistem pelaporan proporsi sumber pendanaan (luar negeri/dalam negeri/PT-mandiri) per dosen untuk mendukung konversi langsung ke rumus skor akreditasi LAM Teknik.</w:t>
      </w:r>
    </w:p>
    <w:p>
      <w:pPr>
        <w:pStyle w:val="ListNumber"/>
        <w:spacing w:after="120"/>
      </w:pPr>
      <w:r>
        <w:rPr/>
        <w:t>Dekan dan Ketua Program Studi menjamin ketersediaan tenaga kependidikan dan laboran PkM sesuai kebutuhan bidang keilmuan program studi.</w:t>
      </w:r>
    </w:p>
    <w:p>
      <w:pPr>
        <w:pStyle w:val="ListNumber"/>
        <w:spacing w:after="120"/>
      </w:pPr>
      <w:r>
        <w:rPr/>
        <w:t>Ketua Program Studi memverifikasi kesesuaian kualifikasi ketua pelaksana, anggota, dan tenaga bantu PkM dengan skema PkM yang berlaku setiap pengusulan kegiatan, mengacu Buku Panduan PkM.</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4</w:t>
            </w:r>
          </w:p>
        </w:tc>
        <w:tc>
          <w:tcPr>
            <w:tcW w:type="dxa" w:w="1234"/>
          </w:tcPr>
          <w:p>
            <w:pPr/>
            <w:r/>
            <w:r>
              <w:rPr/>
            </w:r>
            <w:r>
              <w:rPr>
                <w:b w:val="0"/>
              </w:rPr>
              <w:t>Kesesuaian kualifikasi ketua/anggota/tenaga bantu PkM dengan skema [IKU]</w:t>
            </w:r>
          </w:p>
        </w:tc>
        <w:tc>
          <w:tcPr>
            <w:tcW w:type="dxa" w:w="1234"/>
          </w:tcPr>
          <w:p>
            <w:pPr/>
            <w:r/>
            <w:r>
              <w:rPr/>
            </w:r>
            <w:r>
              <w:rPr>
                <w:b w:val="0"/>
              </w:rPr>
              <w:t>Status</w:t>
            </w:r>
          </w:p>
        </w:tc>
        <w:tc>
          <w:tcPr>
            <w:tcW w:type="dxa" w:w="1234"/>
          </w:tcPr>
          <w:p>
            <w:pPr/>
            <w:r/>
            <w:r>
              <w:rPr/>
            </w:r>
            <w:r>
              <w:rPr>
                <w:b w:val="0"/>
              </w:rPr>
              <w:t>- (praktik baik referensi)</w:t>
            </w:r>
          </w:p>
        </w:tc>
        <w:tc>
          <w:tcPr>
            <w:tcW w:type="dxa" w:w="1234"/>
          </w:tcPr>
          <w:p>
            <w:pPr/>
            <w:r/>
            <w:r>
              <w:rPr/>
            </w:r>
            <w:r>
              <w:rPr>
                <w:b w:val="0"/>
              </w:rPr>
              <w:t>Sesuai</w:t>
            </w:r>
          </w:p>
        </w:tc>
        <w:tc>
          <w:tcPr>
            <w:tcW w:type="dxa" w:w="1234"/>
          </w:tcPr>
          <w:p>
            <w:pPr/>
            <w:r/>
            <w:r>
              <w:rPr/>
            </w:r>
            <w:r>
              <w:rPr>
                <w:b w:val="0"/>
              </w:rPr>
              <w:t>Sesuai</w:t>
            </w:r>
          </w:p>
        </w:tc>
        <w:tc>
          <w:tcPr>
            <w:tcW w:type="dxa" w:w="1234"/>
          </w:tcPr>
          <w:p>
            <w:pPr/>
            <w:r/>
            <w:r>
              <w:rPr/>
            </w:r>
            <w:r>
              <w:rPr>
                <w:b w:val="0"/>
              </w:rPr>
              <w:t>Sesuai</w:t>
            </w:r>
          </w:p>
        </w:tc>
      </w:tr>
      <w:tr>
        <w:tc>
          <w:tcPr>
            <w:tcW w:type="dxa" w:w="1234"/>
          </w:tcPr>
          <w:p>
            <w:pPr/>
            <w:r/>
            <w:r>
              <w:rPr/>
            </w:r>
            <w:r>
              <w:rPr>
                <w:b w:val="0"/>
              </w:rPr>
              <w:t>5</w:t>
            </w:r>
          </w:p>
        </w:tc>
        <w:tc>
          <w:tcPr>
            <w:tcW w:type="dxa" w:w="1234"/>
          </w:tcPr>
          <w:p>
            <w:pPr/>
            <w:r/>
            <w:r>
              <w:rPr/>
            </w:r>
            <w:r>
              <w:rPr>
                <w:b w:val="0"/>
              </w:rPr>
              <w:t>Jumlah kegiatan pengembangan kompetensi pelaksana PkM per tahun [IKU]</w:t>
            </w:r>
          </w:p>
        </w:tc>
        <w:tc>
          <w:tcPr>
            <w:tcW w:type="dxa" w:w="1234"/>
          </w:tcPr>
          <w:p>
            <w:pPr/>
            <w:r/>
            <w:r>
              <w:rPr/>
            </w:r>
            <w:r>
              <w:rPr>
                <w:b w:val="0"/>
              </w:rPr>
              <w:t>Kegiatan</w:t>
            </w:r>
          </w:p>
        </w:tc>
        <w:tc>
          <w:tcPr>
            <w:tcW w:type="dxa" w:w="1234"/>
          </w:tcPr>
          <w:p>
            <w:pPr/>
            <w:r/>
            <w:r>
              <w:rPr/>
            </w:r>
            <w:r>
              <w:rPr>
                <w:b w:val="0"/>
              </w:rPr>
              <w:t>≥2 (praktik baik referensi)</w:t>
            </w:r>
          </w:p>
        </w:tc>
        <w:tc>
          <w:tcPr>
            <w:tcW w:type="dxa" w:w="1234"/>
          </w:tcPr>
          <w:p>
            <w:pPr/>
            <w:r/>
            <w:r>
              <w:rPr/>
            </w:r>
            <w:r>
              <w:rPr>
                <w:b w:val="0"/>
              </w:rPr>
              <w:t>3</w:t>
            </w:r>
          </w:p>
        </w:tc>
        <w:tc>
          <w:tcPr>
            <w:tcW w:type="dxa" w:w="1234"/>
          </w:tcPr>
          <w:p>
            <w:pPr/>
            <w:r/>
            <w:r>
              <w:rPr/>
            </w:r>
            <w:r>
              <w:rPr>
                <w:b w:val="0"/>
              </w:rPr>
              <w:t>3</w:t>
            </w:r>
          </w:p>
        </w:tc>
        <w:tc>
          <w:tcPr>
            <w:tcW w:type="dxa" w:w="1234"/>
          </w:tcPr>
          <w:p>
            <w:pPr/>
            <w:r/>
            <w:r>
              <w:rPr/>
            </w:r>
            <w:r>
              <w:rPr>
                <w:b w:val="0"/>
              </w:rPr>
              <w:t>3</w:t>
            </w:r>
          </w:p>
        </w:tc>
      </w:tr>
      <w:tr>
        <w:tc>
          <w:tcPr>
            <w:tcW w:type="dxa" w:w="1234"/>
          </w:tcPr>
          <w:p>
            <w:pPr/>
            <w:r/>
            <w:r>
              <w:rPr/>
            </w:r>
            <w:r>
              <w:rPr>
                <w:b w:val="0"/>
              </w:rPr>
              <w:t>6</w:t>
            </w:r>
          </w:p>
        </w:tc>
        <w:tc>
          <w:tcPr>
            <w:tcW w:type="dxa" w:w="1234"/>
          </w:tcPr>
          <w:p>
            <w:pPr/>
            <w:r/>
            <w:r>
              <w:rPr/>
            </w:r>
            <w:r>
              <w:rPr>
                <w:b w:val="0"/>
              </w:rPr>
              <w:t>Persentase dosen mengikuti minimal 1 kegiatan pengembangan kompetensi pelaksana [IKU]</w:t>
            </w:r>
          </w:p>
        </w:tc>
        <w:tc>
          <w:tcPr>
            <w:tcW w:type="dxa" w:w="1234"/>
          </w:tcPr>
          <w:p>
            <w:pPr/>
            <w:r/>
            <w:r>
              <w:rPr/>
            </w:r>
            <w:r>
              <w:rPr>
                <w:b w:val="0"/>
              </w:rPr>
              <w:t>%</w:t>
            </w:r>
          </w:p>
        </w:tc>
        <w:tc>
          <w:tcPr>
            <w:tcW w:type="dxa" w:w="1234"/>
          </w:tcPr>
          <w:p>
            <w:pPr/>
            <w:r/>
            <w:r>
              <w:rPr/>
            </w:r>
            <w:r>
              <w:rPr>
                <w:b w:val="0"/>
              </w:rPr>
              <w:t>- (praktik baik referensi)</w:t>
            </w:r>
          </w:p>
        </w:tc>
        <w:tc>
          <w:tcPr>
            <w:tcW w:type="dxa" w:w="1234"/>
          </w:tcPr>
          <w:p>
            <w:pPr/>
            <w:r/>
            <w:r>
              <w:rPr/>
            </w:r>
            <w:r>
              <w:rPr>
                <w:b w:val="0"/>
              </w:rPr>
              <w:t>90</w:t>
            </w:r>
          </w:p>
        </w:tc>
        <w:tc>
          <w:tcPr>
            <w:tcW w:type="dxa" w:w="1234"/>
          </w:tcPr>
          <w:p>
            <w:pPr/>
            <w:r/>
            <w:r>
              <w:rPr/>
            </w:r>
            <w:r>
              <w:rPr>
                <w:b w:val="0"/>
              </w:rPr>
              <w:t>93</w:t>
            </w:r>
          </w:p>
        </w:tc>
        <w:tc>
          <w:tcPr>
            <w:tcW w:type="dxa" w:w="1234"/>
          </w:tcPr>
          <w:p>
            <w:pPr/>
            <w:r/>
            <w:r>
              <w:rPr/>
            </w:r>
            <w:r>
              <w:rPr>
                <w:b w:val="0"/>
              </w:rPr>
              <w:t>95</w:t>
            </w:r>
          </w:p>
        </w:tc>
      </w:tr>
      <w:tr>
        <w:tc>
          <w:tcPr>
            <w:tcW w:type="dxa" w:w="1234"/>
          </w:tcPr>
          <w:p>
            <w:pPr/>
            <w:r/>
            <w:r>
              <w:rPr/>
            </w:r>
            <w:r>
              <w:rPr>
                <w:b w:val="0"/>
              </w:rPr>
              <w:t>7</w:t>
            </w:r>
          </w:p>
        </w:tc>
        <w:tc>
          <w:tcPr>
            <w:tcW w:type="dxa" w:w="1234"/>
          </w:tcPr>
          <w:p>
            <w:pPr/>
            <w:r/>
            <w:r>
              <w:rPr/>
            </w:r>
            <w:r>
              <w:rPr>
                <w:b w:val="0"/>
              </w:rPr>
              <w:t>Rata-rata jumlah PkM per dosen per tahun [IKU]</w:t>
            </w:r>
          </w:p>
        </w:tc>
        <w:tc>
          <w:tcPr>
            <w:tcW w:type="dxa" w:w="1234"/>
          </w:tcPr>
          <w:p>
            <w:pPr/>
            <w:r/>
            <w:r>
              <w:rPr/>
            </w:r>
            <w:r>
              <w:rPr>
                <w:b w:val="0"/>
              </w:rPr>
              <w:t>Judul</w:t>
            </w:r>
          </w:p>
        </w:tc>
        <w:tc>
          <w:tcPr>
            <w:tcW w:type="dxa" w:w="1234"/>
          </w:tcPr>
          <w:p>
            <w:pPr/>
            <w:r/>
            <w:r>
              <w:rPr/>
            </w:r>
            <w:r>
              <w:rPr>
                <w:b w:val="0"/>
              </w:rPr>
              <w:t>≥1 (R2/R5)</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8</w:t>
            </w:r>
          </w:p>
        </w:tc>
        <w:tc>
          <w:tcPr>
            <w:tcW w:type="dxa" w:w="1234"/>
          </w:tcPr>
          <w:p>
            <w:pPr/>
            <w:r/>
            <w:r>
              <w:rPr/>
            </w:r>
            <w:r>
              <w:rPr>
                <w:b w:val="0"/>
              </w:rPr>
              <w:t>Pelaporan proporsi sumber pendanaan PkM (luar negeri/dalam negeri/PT-mandiri) per dosen [IKT]</w:t>
            </w:r>
          </w:p>
        </w:tc>
        <w:tc>
          <w:tcPr>
            <w:tcW w:type="dxa" w:w="1234"/>
          </w:tcPr>
          <w:p>
            <w:pPr/>
            <w:r/>
            <w:r>
              <w:rPr/>
            </w:r>
            <w:r>
              <w:rPr>
                <w:b w:val="0"/>
              </w:rPr>
              <w:t>Status</w:t>
            </w:r>
          </w:p>
        </w:tc>
        <w:tc>
          <w:tcPr>
            <w:tcW w:type="dxa" w:w="1234"/>
          </w:tcPr>
          <w:p>
            <w:pPr/>
            <w:r/>
            <w:r>
              <w:rPr/>
            </w:r>
            <w:r>
              <w:rPr>
                <w:b w:val="0"/>
              </w:rPr>
              <w:t>a=0,05;b=0,3;c=1 (R2); 0,02;0,2;1 (R5)</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9</w:t>
            </w:r>
          </w:p>
        </w:tc>
        <w:tc>
          <w:tcPr>
            <w:tcW w:type="dxa" w:w="1234"/>
          </w:tcPr>
          <w:p>
            <w:pPr/>
            <w:r/>
            <w:r>
              <w:rPr/>
            </w:r>
            <w:r>
              <w:rPr>
                <w:b w:val="0"/>
              </w:rPr>
              <w:t>Ketersediaan tenaga kependidikan dan laboran PkM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bl>
    <w:p>
      <w:pPr/>
    </w:p>
    <w:p>
      <w:pPr>
        <w:spacing w:before="280" w:after="120"/>
      </w:pPr>
      <w:r>
        <w:rPr>
          <w:b/>
          <w:sz w:val="26"/>
        </w:rPr>
        <w:t>STANDAR SARANA DAN PRASARANA PkM</w:t>
      </w:r>
    </w:p>
    <w:p>
      <w:pPr>
        <w:spacing w:before="160" w:after="80"/>
      </w:pPr>
      <w:r>
        <w:rPr>
          <w:b/>
          <w:sz w:val="23"/>
        </w:rPr>
        <w:t>1. Daftar Istilah</w:t>
      </w:r>
    </w:p>
    <w:p>
      <w:pPr>
        <w:spacing w:after="120"/>
      </w:pPr>
      <w:r>
        <w:rPr>
          <w:b w:val="0"/>
          <w:i w:val="0"/>
        </w:rPr>
        <w:t>Direktorat Penelitian, Pengabdian kepada Masyarakat dan Publikasi (DPPMP) adalah unit pengelola PkM tingkat universitas/fakultas.</w:t>
      </w:r>
    </w:p>
    <w:p>
      <w:pPr>
        <w:spacing w:after="120"/>
      </w:pPr>
      <w:r>
        <w:rPr>
          <w:b w:val="0"/>
          <w:i w:val="0"/>
        </w:rPr>
        <w:t>Sarana PkM mencakup peralatan, referensi ilmiah (buku, e-book, e-jurnal, basis data ilmiah), dan perangkat pendukung pelaksanaan PkM.</w:t>
      </w:r>
    </w:p>
    <w:p>
      <w:pPr>
        <w:spacing w:after="120"/>
      </w:pPr>
      <w:r>
        <w:rPr>
          <w:b w:val="0"/>
          <w:i w:val="0"/>
        </w:rPr>
        <w:t>Prasarana PkM mencakup ruang unit pengelola PkM dan fasilitas pendukung lain sesuai bidang keilmuan program studi.</w:t>
      </w:r>
    </w:p>
    <w:p>
      <w:pPr>
        <w:spacing w:after="120"/>
      </w:pPr>
      <w:r>
        <w:rPr>
          <w:b w:val="0"/>
          <w:i w:val="0"/>
        </w:rPr>
        <w:t>Keselamatan, Kesehatan, Kenyamanan, dan Keamanan Kerja (K3) PkM adalah sistem yang menjamin keselamatan pelaksana, mahasiswa, dan penerima manfaat selama kegiatan PkM berlangsung.</w:t>
      </w:r>
    </w:p>
    <w:p>
      <w:pPr>
        <w:spacing w:after="120"/>
      </w:pPr>
      <w:r>
        <w:rPr>
          <w:b w:val="0"/>
          <w:i w:val="0"/>
        </w:rPr>
        <w:t>Sistem Informasi PkM (SIRISBANK) adalah sistem informasi terintegrasi yang mendukung perencanaan, pengusulan, pelaksanaan, dan pelaporan PkM di lingkungan FTII/Universitas.</w:t>
      </w:r>
    </w:p>
    <w:p>
      <w:pPr>
        <w:spacing w:after="120"/>
      </w:pPr>
      <w:r>
        <w:rPr>
          <w:b w:val="0"/>
          <w:i w:val="0"/>
        </w:rPr>
        <w:t>Aksesibilitas adalah kemudahan yang disediakan bagi pengguna sarana-prasarana PkM berkebutuhan khusus untuk mewujudkan kesamaan kesempatan.</w:t>
      </w:r>
    </w:p>
    <w:p>
      <w:pPr>
        <w:spacing w:before="160" w:after="80"/>
      </w:pPr>
      <w:r>
        <w:rPr>
          <w:b/>
          <w:sz w:val="23"/>
        </w:rPr>
        <w:t>2. Pihak Yang Bertanggung Jawab Untuk Memenuhi Standar</w:t>
      </w:r>
    </w:p>
    <w:p>
      <w:pPr>
        <w:pStyle w:val="ListBullet"/>
        <w:spacing w:after="80"/>
      </w:pPr>
      <w:r>
        <w:rPr/>
        <w:t>Wakil Rektor Bidang Pengembangan Institusi dan Sumber Daya, dalam perencanaan investasi sarana-prasarana PkM.</w:t>
      </w:r>
    </w:p>
    <w:p>
      <w:pPr>
        <w:pStyle w:val="ListBullet"/>
        <w:spacing w:after="80"/>
      </w:pPr>
      <w:r>
        <w:rPr/>
        <w:t>Divisi Pengelolaan Prasarana dan Aset (DPPA), dalam pengadaan, pemeliharaan, dan evaluasi kelayakan sarana-prasarana PkM.</w:t>
      </w:r>
    </w:p>
    <w:p>
      <w:pPr>
        <w:pStyle w:val="ListBullet"/>
        <w:spacing w:after="80"/>
      </w:pPr>
      <w:r>
        <w:rPr/>
        <w:t>Divisi Teknologi Sistem Informasi (DTSI), dalam pengelolaan jaringan internet dan Sistem Informasi PkM (SIRISBANK).</w:t>
      </w:r>
    </w:p>
    <w:p>
      <w:pPr>
        <w:pStyle w:val="ListBullet"/>
        <w:spacing w:after="80"/>
      </w:pPr>
      <w:r>
        <w:rPr/>
        <w:t>Kepala Perpustakaan dan Literasi, dalam penyediaan sumber referensi ilmiah pendukung PkM.</w:t>
      </w:r>
    </w:p>
    <w:p>
      <w:pPr>
        <w:pStyle w:val="ListBullet"/>
        <w:spacing w:after="80"/>
      </w:pPr>
      <w:r>
        <w:rPr/>
        <w:t>Dekan FTII dan Ketua Program Studi, dalam verifikasi kecukupan sarana-prasarana PkM di tingkat program studi.</w:t>
      </w:r>
    </w:p>
    <w:p>
      <w:pPr>
        <w:spacing w:before="160" w:after="80"/>
      </w:pPr>
      <w:r>
        <w:rPr>
          <w:b/>
          <w:sz w:val="23"/>
        </w:rPr>
        <w:t>3. Pernyataan Isi Standar Sarana dan Prasarana PkM</w:t>
      </w:r>
    </w:p>
    <w:p>
      <w:pPr>
        <w:pStyle w:val="ListNumber"/>
        <w:spacing w:after="120"/>
      </w:pPr>
      <w:r>
        <w:rPr/>
        <w:t>Program Studi Teknik Informatika wajib menjamin ketersediaan sarana dan prasarana PkM yang mencakup sekurang-kurangnya: ruang unit pengelola PkM (DPPMP tingkat program studi), sarana referensi ilmiah (buku, e-book, e-jurnal, basis data ilmiah), prasarana pendukung PkM sesuai bidang keilmuan, dan pemenuhan 4 (empat) aspek Keselamatan, Kesehatan, Kenyamanan, dan Keamanan Kerja (K3).</w:t>
      </w:r>
    </w:p>
    <w:p>
      <w:pPr>
        <w:pStyle w:val="ListNumber"/>
        <w:spacing w:after="120"/>
      </w:pPr>
      <w:r>
        <w:rPr/>
        <w:t>Program Studi Teknik Informatika wajib menjamin tingkat pemanfaatan, kemutakhiran, dan aksesibilitas sarana-prasarana PkM paling sedikit 85%, meningkat menuju 100%.</w:t>
      </w:r>
    </w:p>
    <w:p>
      <w:pPr>
        <w:pStyle w:val="ListNumber"/>
        <w:spacing w:after="120"/>
      </w:pPr>
      <w:r>
        <w:rPr/>
        <w:t>Program Studi Teknik Informatika wajib menjamin ketersediaan jaringan internet yang andal untuk mendukung pelaksanaan PkM secara efektif dan berkelanjutan.</w:t>
      </w:r>
    </w:p>
    <w:p>
      <w:pPr>
        <w:pStyle w:val="ListNumber"/>
        <w:spacing w:after="120"/>
      </w:pPr>
      <w:r>
        <w:rPr/>
        <w:t>Program Studi Teknik Informatika wajib menyediakan Sistem Informasi PkM (SIRISBANK atau sistem lain) terintegrasi, dengan target cakupan program studi/unit yang aktif menggunakan sistem tersebut paling sedikit 85% pada 2024/25, meningkat menuju 100% pada 2026/27.</w:t>
      </w:r>
    </w:p>
    <w:p>
      <w:pPr>
        <w:spacing w:before="160" w:after="80"/>
      </w:pPr>
      <w:r>
        <w:rPr>
          <w:b/>
          <w:sz w:val="23"/>
        </w:rPr>
        <w:t>4. Strategi Pencapaian Standar</w:t>
      </w:r>
    </w:p>
    <w:p>
      <w:pPr>
        <w:pStyle w:val="ListNumber"/>
        <w:spacing w:after="120"/>
      </w:pPr>
      <w:r>
        <w:rPr/>
        <w:t>Rektor menetapkan kebijakan Standar Sarana dan Prasarana PkM sebagai bagian dari SPMI Universitas, dengan ambang indikator disetarakan pada skor tertinggi instrumen LAM Teknik dan kriteria Unggul LAM INFOKOM.</w:t>
      </w:r>
    </w:p>
    <w:p>
      <w:pPr>
        <w:pStyle w:val="ListNumber"/>
        <w:spacing w:after="120"/>
      </w:pPr>
      <w:r>
        <w:rPr/>
        <w:t>Wakil Rektor Bidang Pengembangan dan Sumber Daya bersama DPPA melengkapi checklist sarana-prasarana PkM (ruang unit pengelola, sarana referensi ilmiah, prasarana, 4 aspek K3) dan meningkatkan pemanfaatan/kemutakhiran serta aksesibilitas menuju 100%.</w:t>
      </w:r>
    </w:p>
    <w:p>
      <w:pPr>
        <w:pStyle w:val="ListNumber"/>
        <w:spacing w:after="120"/>
      </w:pPr>
      <w:r>
        <w:rPr/>
        <w:t>Kepala Perpustakaan dan Literasi menyediakan serta memperbarui sumber referensi ilmiah (buku, e-book, jurnal ilmiah, prosiding, basis data ilmiah) yang mendukung pelaksanaan PkM.</w:t>
      </w:r>
    </w:p>
    <w:p>
      <w:pPr>
        <w:pStyle w:val="ListNumber"/>
        <w:spacing w:after="120"/>
      </w:pPr>
      <w:r>
        <w:rPr/>
        <w:t>DTSI menjamin ketersediaan jaringan internet andal dan mengembangkan Sistem Informasi PkM hingga tercapai cakupan penggunaan aktif 100% pada seluruh program studi/unit.</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10</w:t>
            </w:r>
          </w:p>
        </w:tc>
        <w:tc>
          <w:tcPr>
            <w:tcW w:type="dxa" w:w="1234"/>
          </w:tcPr>
          <w:p>
            <w:pPr/>
            <w:r/>
            <w:r>
              <w:rPr/>
            </w:r>
            <w:r>
              <w:rPr>
                <w:b w:val="0"/>
              </w:rPr>
              <w:t>Pemenuhan checklist sarana-prasarana PkM (ruang unit pengelola, sarana referensi ilmiah, prasarana, 4 aspek K3) [IKU]</w:t>
            </w:r>
          </w:p>
        </w:tc>
        <w:tc>
          <w:tcPr>
            <w:tcW w:type="dxa" w:w="1234"/>
          </w:tcPr>
          <w:p>
            <w:pPr/>
            <w:r/>
            <w:r>
              <w:rPr/>
            </w:r>
            <w:r>
              <w:rPr>
                <w:b w:val="0"/>
              </w:rPr>
              <w:t>Jumlah unsur</w:t>
            </w:r>
          </w:p>
        </w:tc>
        <w:tc>
          <w:tcPr>
            <w:tcW w:type="dxa" w:w="1234"/>
          </w:tcPr>
          <w:p>
            <w:pPr/>
            <w:r/>
            <w:r>
              <w:rPr/>
            </w:r>
            <w:r>
              <w:rPr>
                <w:b w:val="0"/>
              </w:rPr>
              <w:t>4 unsur (praktik baik referensi)</w:t>
            </w:r>
          </w:p>
        </w:tc>
        <w:tc>
          <w:tcPr>
            <w:tcW w:type="dxa" w:w="1234"/>
          </w:tcPr>
          <w:p>
            <w:pPr/>
            <w:r/>
            <w:r>
              <w:rPr/>
            </w:r>
            <w:r>
              <w:rPr>
                <w:b w:val="0"/>
              </w:rPr>
              <w:t>4</w:t>
            </w:r>
          </w:p>
        </w:tc>
        <w:tc>
          <w:tcPr>
            <w:tcW w:type="dxa" w:w="1234"/>
          </w:tcPr>
          <w:p>
            <w:pPr/>
            <w:r/>
            <w:r>
              <w:rPr/>
            </w:r>
            <w:r>
              <w:rPr>
                <w:b w:val="0"/>
              </w:rPr>
              <w:t>4</w:t>
            </w:r>
          </w:p>
        </w:tc>
        <w:tc>
          <w:tcPr>
            <w:tcW w:type="dxa" w:w="1234"/>
          </w:tcPr>
          <w:p>
            <w:pPr/>
            <w:r/>
            <w:r>
              <w:rPr/>
            </w:r>
            <w:r>
              <w:rPr>
                <w:b w:val="0"/>
              </w:rPr>
              <w:t>4</w:t>
            </w:r>
          </w:p>
        </w:tc>
      </w:tr>
      <w:tr>
        <w:tc>
          <w:tcPr>
            <w:tcW w:type="dxa" w:w="1234"/>
          </w:tcPr>
          <w:p>
            <w:pPr/>
            <w:r/>
            <w:r>
              <w:rPr/>
            </w:r>
            <w:r>
              <w:rPr>
                <w:b w:val="0"/>
              </w:rPr>
              <w:t>11</w:t>
            </w:r>
          </w:p>
        </w:tc>
        <w:tc>
          <w:tcPr>
            <w:tcW w:type="dxa" w:w="1234"/>
          </w:tcPr>
          <w:p>
            <w:pPr/>
            <w:r/>
            <w:r>
              <w:rPr/>
            </w:r>
            <w:r>
              <w:rPr>
                <w:b w:val="0"/>
              </w:rPr>
              <w:t>Persentase pemanfaatan/kemutakhiran dan aksesibilitas sarana-prasarana PkM [IKU]</w:t>
            </w:r>
          </w:p>
        </w:tc>
        <w:tc>
          <w:tcPr>
            <w:tcW w:type="dxa" w:w="1234"/>
          </w:tcPr>
          <w:p>
            <w:pPr/>
            <w:r/>
            <w:r>
              <w:rPr/>
            </w:r>
            <w:r>
              <w:rPr>
                <w:b w:val="0"/>
              </w:rPr>
              <w:t>%</w:t>
            </w:r>
          </w:p>
        </w:tc>
        <w:tc>
          <w:tcPr>
            <w:tcW w:type="dxa" w:w="1234"/>
          </w:tcPr>
          <w:p>
            <w:pPr/>
            <w:r/>
            <w:r>
              <w:rPr/>
            </w:r>
            <w:r>
              <w:rPr>
                <w:b w:val="0"/>
              </w:rPr>
              <w:t>≥85→100 (R4)</w:t>
            </w:r>
          </w:p>
        </w:tc>
        <w:tc>
          <w:tcPr>
            <w:tcW w:type="dxa" w:w="1234"/>
          </w:tcPr>
          <w:p>
            <w:pPr/>
            <w:r/>
            <w:r>
              <w:rPr/>
            </w:r>
            <w:r>
              <w:rPr>
                <w:b w:val="0"/>
              </w:rPr>
              <w:t>85</w:t>
            </w:r>
          </w:p>
        </w:tc>
        <w:tc>
          <w:tcPr>
            <w:tcW w:type="dxa" w:w="1234"/>
          </w:tcPr>
          <w:p>
            <w:pPr/>
            <w:r/>
            <w:r>
              <w:rPr/>
            </w:r>
            <w:r>
              <w:rPr>
                <w:b w:val="0"/>
              </w:rPr>
              <w:t>92</w:t>
            </w:r>
          </w:p>
        </w:tc>
        <w:tc>
          <w:tcPr>
            <w:tcW w:type="dxa" w:w="1234"/>
          </w:tcPr>
          <w:p>
            <w:pPr/>
            <w:r/>
            <w:r>
              <w:rPr/>
            </w:r>
            <w:r>
              <w:rPr>
                <w:b w:val="0"/>
              </w:rPr>
              <w:t>100</w:t>
            </w:r>
          </w:p>
        </w:tc>
      </w:tr>
      <w:tr>
        <w:tc>
          <w:tcPr>
            <w:tcW w:type="dxa" w:w="1234"/>
          </w:tcPr>
          <w:p>
            <w:pPr/>
            <w:r/>
            <w:r>
              <w:rPr/>
            </w:r>
            <w:r>
              <w:rPr>
                <w:b w:val="0"/>
              </w:rPr>
              <w:t>12</w:t>
            </w:r>
          </w:p>
        </w:tc>
        <w:tc>
          <w:tcPr>
            <w:tcW w:type="dxa" w:w="1234"/>
          </w:tcPr>
          <w:p>
            <w:pPr/>
            <w:r/>
            <w:r>
              <w:rPr/>
            </w:r>
            <w:r>
              <w:rPr>
                <w:b w:val="0"/>
              </w:rPr>
              <w:t>Ketersediaan jaringan internet PkM andal [IKT]</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13</w:t>
            </w:r>
          </w:p>
        </w:tc>
        <w:tc>
          <w:tcPr>
            <w:tcW w:type="dxa" w:w="1234"/>
          </w:tcPr>
          <w:p>
            <w:pPr/>
            <w:r/>
            <w:r>
              <w:rPr/>
            </w:r>
            <w:r>
              <w:rPr>
                <w:b w:val="0"/>
              </w:rPr>
              <w:t>Persentase cakupan unit/prodi aktif menggunakan Sistem Informasi PkM [IKU]</w:t>
            </w:r>
          </w:p>
        </w:tc>
        <w:tc>
          <w:tcPr>
            <w:tcW w:type="dxa" w:w="1234"/>
          </w:tcPr>
          <w:p>
            <w:pPr/>
            <w:r/>
            <w:r>
              <w:rPr/>
            </w:r>
            <w:r>
              <w:rPr>
                <w:b w:val="0"/>
              </w:rPr>
              <w:t>%</w:t>
            </w:r>
          </w:p>
        </w:tc>
        <w:tc>
          <w:tcPr>
            <w:tcW w:type="dxa" w:w="1234"/>
          </w:tcPr>
          <w:p>
            <w:pPr/>
            <w:r/>
            <w:r>
              <w:rPr/>
            </w:r>
            <w:r>
              <w:rPr>
                <w:b w:val="0"/>
              </w:rPr>
              <w:t>≥85→100 (R4)</w:t>
            </w:r>
          </w:p>
        </w:tc>
        <w:tc>
          <w:tcPr>
            <w:tcW w:type="dxa" w:w="1234"/>
          </w:tcPr>
          <w:p>
            <w:pPr/>
            <w:r/>
            <w:r>
              <w:rPr/>
            </w:r>
            <w:r>
              <w:rPr>
                <w:b w:val="0"/>
              </w:rPr>
              <w:t>85</w:t>
            </w:r>
          </w:p>
        </w:tc>
        <w:tc>
          <w:tcPr>
            <w:tcW w:type="dxa" w:w="1234"/>
          </w:tcPr>
          <w:p>
            <w:pPr/>
            <w:r/>
            <w:r>
              <w:rPr/>
            </w:r>
            <w:r>
              <w:rPr>
                <w:b w:val="0"/>
              </w:rPr>
              <w:t>92</w:t>
            </w:r>
          </w:p>
        </w:tc>
        <w:tc>
          <w:tcPr>
            <w:tcW w:type="dxa" w:w="1234"/>
          </w:tcPr>
          <w:p>
            <w:pPr/>
            <w:r/>
            <w:r>
              <w:rPr/>
            </w:r>
            <w:r>
              <w:rPr>
                <w:b w:val="0"/>
              </w:rPr>
              <w:t>100</w:t>
            </w:r>
          </w:p>
        </w:tc>
      </w:tr>
    </w:tbl>
    <w:p>
      <w:pPr/>
    </w:p>
    <w:p>
      <w:pPr>
        <w:spacing w:before="280" w:after="120"/>
      </w:pPr>
      <w:r>
        <w:rPr>
          <w:b/>
          <w:sz w:val="26"/>
        </w:rPr>
        <w:t>STANDAR PENDANAAN DAN PEMBIAYAAN PkM</w:t>
      </w:r>
    </w:p>
    <w:p>
      <w:pPr>
        <w:spacing w:before="160" w:after="80"/>
      </w:pPr>
      <w:r>
        <w:rPr>
          <w:b/>
          <w:sz w:val="23"/>
        </w:rPr>
        <w:t>1. Daftar Istilah</w:t>
      </w:r>
    </w:p>
    <w:p>
      <w:pPr>
        <w:spacing w:after="120"/>
      </w:pPr>
      <w:r>
        <w:rPr>
          <w:b w:val="0"/>
          <w:i w:val="0"/>
        </w:rPr>
        <w:t>Dana PkM adalah seluruh sumber daya keuangan yang dialokasikan untuk perencanaan, pelaksanaan, dan pelaporan kegiatan PkM dosen dan mahasiswa.</w:t>
      </w:r>
    </w:p>
    <w:p>
      <w:pPr>
        <w:spacing w:after="120"/>
      </w:pPr>
      <w:r>
        <w:rPr>
          <w:b w:val="0"/>
          <w:i w:val="0"/>
        </w:rPr>
        <w:t>Diversifikasi Sumber Pendanaan adalah upaya memperluas sumber pembiayaan PkM di luar dana internal perguruan tinggi, mencakup pendanaan luar negeri, dalam negeri, dan kerja sama DUDI/pemerintah.</w:t>
      </w:r>
    </w:p>
    <w:p>
      <w:pPr>
        <w:spacing w:after="120"/>
      </w:pPr>
      <w:r>
        <w:rPr>
          <w:b w:val="0"/>
          <w:i w:val="0"/>
        </w:rPr>
        <w:t>Hibah PkM Internal adalah dana PkM yang bersumber dari anggaran Universitas/Fakultas, disalurkan melalui skema kompetitif kepada dosen.</w:t>
      </w:r>
    </w:p>
    <w:p>
      <w:pPr>
        <w:spacing w:after="120"/>
      </w:pPr>
      <w:r>
        <w:rPr>
          <w:b w:val="0"/>
          <w:i w:val="0"/>
        </w:rPr>
        <w:t>Hibah PkM Eksternal adalah dana PkM yang bersumber dari lembaga di luar Universitas (pemerintah, swasta, mitra luar negeri) yang diperoleh dosen melalui skema kompetitif.</w:t>
      </w:r>
    </w:p>
    <w:p>
      <w:pPr>
        <w:spacing w:before="160" w:after="80"/>
      </w:pPr>
      <w:r>
        <w:rPr>
          <w:b/>
          <w:sz w:val="23"/>
        </w:rPr>
        <w:t>2. Pihak Yang Bertanggung Jawab Untuk Memenuhi Standar</w:t>
      </w:r>
    </w:p>
    <w:p>
      <w:pPr>
        <w:pStyle w:val="ListBullet"/>
        <w:spacing w:after="80"/>
      </w:pPr>
      <w:r>
        <w:rPr/>
        <w:t>Wakil Rektor Bidang Pengembangan Institusi dan Sumber Daya, dalam perencanaan alokasi dana PkM.</w:t>
      </w:r>
    </w:p>
    <w:p>
      <w:pPr>
        <w:pStyle w:val="ListBullet"/>
        <w:spacing w:after="80"/>
      </w:pPr>
      <w:r>
        <w:rPr/>
        <w:t>Direktorat Keuangan (DKEU), dalam pencatatan, pelaporan, dan pertanggungjawaban dana PkM.</w:t>
      </w:r>
    </w:p>
    <w:p>
      <w:pPr>
        <w:pStyle w:val="ListBullet"/>
        <w:spacing w:after="80"/>
      </w:pPr>
      <w:r>
        <w:rPr/>
        <w:t>Direktorat Penelitian, Pengabdian kepada Masyarakat dan Publikasi (DPPMP), dalam pengelolaan skema hibah PkM internal dan pendampingan hibah eksternal.</w:t>
      </w:r>
    </w:p>
    <w:p>
      <w:pPr>
        <w:pStyle w:val="ListBullet"/>
        <w:spacing w:after="80"/>
      </w:pPr>
      <w:r>
        <w:rPr/>
        <w:t>Dekan FTII dan Ketua Program Studi, dalam pengusulan kebutuhan pendanaan PkM program studi.</w:t>
      </w:r>
    </w:p>
    <w:p>
      <w:pPr>
        <w:spacing w:before="160" w:after="80"/>
      </w:pPr>
      <w:r>
        <w:rPr>
          <w:b/>
          <w:sz w:val="23"/>
        </w:rPr>
        <w:t>3. Pernyataan Isi Standar Pendanaan dan Pembiayaan PkM</w:t>
      </w:r>
    </w:p>
    <w:p>
      <w:pPr>
        <w:pStyle w:val="ListNumber"/>
        <w:spacing w:after="120"/>
      </w:pPr>
      <w:r>
        <w:rPr/>
        <w:t>Program Studi Teknik Informatika wajib menjamin dana PkM per dosen per tahun paling sedikit Rp5.000.000, tetap setara ambang skor sempurna LAM Teknik, meningkat secara bertahap menuju Rp6.500.000 sebagai margin unggul.</w:t>
      </w:r>
    </w:p>
    <w:p>
      <w:pPr>
        <w:pStyle w:val="ListNumber"/>
        <w:spacing w:after="120"/>
      </w:pPr>
      <w:r>
        <w:rPr/>
        <w:t>Program Studi Teknik Informatika wajib menjamin persentase dana PkM terhadap total dana perguruan tinggi paling sedikit 5%, meningkat secara bertahap dari kondisi saat ini.</w:t>
      </w:r>
    </w:p>
    <w:p>
      <w:pPr>
        <w:pStyle w:val="ListNumber"/>
        <w:spacing w:after="120"/>
      </w:pPr>
      <w:r>
        <w:rPr/>
        <w:t>Program Studi Teknik Informatika wajib memiliki mekanisme pengelolaan, penggunaan, dan pertanggungjawaban dana PkM yang transparan, akuntabel, efektif, dan efisien.</w:t>
      </w:r>
    </w:p>
    <w:p>
      <w:pPr>
        <w:pStyle w:val="ListNumber"/>
        <w:spacing w:after="120"/>
      </w:pPr>
      <w:r>
        <w:rPr/>
        <w:t>Program Studi Teknik Informatika wajib mengembangkan diversifikasi sumber pendanaan PkM eksternal (luar negeri, dalam negeri, kerja sama DUDI/pemerintah) dengan proporsi per dosen per tahun yang dilaporkan secara terukur.</w:t>
      </w:r>
    </w:p>
    <w:p>
      <w:pPr>
        <w:spacing w:before="160" w:after="80"/>
      </w:pPr>
      <w:r>
        <w:rPr>
          <w:b/>
          <w:sz w:val="23"/>
        </w:rPr>
        <w:t>4. Strategi Pencapaian Standar</w:t>
      </w:r>
    </w:p>
    <w:p>
      <w:pPr>
        <w:pStyle w:val="ListNumber"/>
        <w:spacing w:after="120"/>
      </w:pPr>
      <w:r>
        <w:rPr/>
        <w:t>Rektor menetapkan kebijakan Standar Pendanaan dan Pembiayaan PkM sebagai bagian dari SPMI Universitas, dengan ambang indikator disetarakan pada skor tertinggi instrumen LAM Teknik dan kriteria Unggul LAM INFOKOM.</w:t>
      </w:r>
    </w:p>
    <w:p>
      <w:pPr>
        <w:pStyle w:val="ListNumber"/>
        <w:spacing w:after="120"/>
      </w:pPr>
      <w:r>
        <w:rPr/>
        <w:t>Wakil Rektor Bidang Pengembangan dan Sumber Daya bersama DKEU menjamin dana PkM per dosen meningkat dari Rp5 juta menuju Rp6,5 juta per tahun, tetap setara/melampaui ambang LAM Teknik.</w:t>
      </w:r>
    </w:p>
    <w:p>
      <w:pPr>
        <w:pStyle w:val="ListNumber"/>
        <w:spacing w:after="120"/>
      </w:pPr>
      <w:r>
        <w:rPr/>
        <w:t>Direktorat Keuangan bersama DPPMP menyusun mekanisme pelaporan persentase dana PkM terhadap total dana perguruan tinggi, ditargetkan meningkat dari 2% menuju 5%.</w:t>
      </w:r>
    </w:p>
    <w:p>
      <w:pPr>
        <w:pStyle w:val="ListNumber"/>
        <w:spacing w:after="120"/>
      </w:pPr>
      <w:r>
        <w:rPr/>
        <w:t>DPPMP mengembangkan kerja sama dengan pemerintah, DUDI, perguruan tinggi, dan lembaga donor untuk meningkatkan diversifikasi sumber pendanaan PkM eksternal, dengan pelaporan proporsi per dosen per tahun.</w:t>
      </w:r>
    </w:p>
    <w:p>
      <w:pPr>
        <w:pStyle w:val="ListNumber"/>
        <w:spacing w:after="120"/>
      </w:pPr>
      <w:r>
        <w:rPr/>
        <w:t>*Direktorat Keuangan (DKEU) menerapkan pengelolaan dana PkM yang memenuhi 5 (lima) aspek sesuai ambang skor sempurna LAM Teknik: transparansi, kepatuhan terhadap regulasi, efisiensi dan efektivitas, pengelolaan risiko, serta audit internal dan eksternal, dibuktikan melalui sistem pencatatan dan pelaporan keuangan terstandar.</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14</w:t>
            </w:r>
          </w:p>
        </w:tc>
        <w:tc>
          <w:tcPr>
            <w:tcW w:type="dxa" w:w="1234"/>
          </w:tcPr>
          <w:p>
            <w:pPr/>
            <w:r/>
            <w:r>
              <w:rPr/>
            </w:r>
            <w:r>
              <w:rPr>
                <w:b w:val="0"/>
              </w:rPr>
              <w:t>Dana PkM per dosen per tahun [IKU]</w:t>
            </w:r>
          </w:p>
        </w:tc>
        <w:tc>
          <w:tcPr>
            <w:tcW w:type="dxa" w:w="1234"/>
          </w:tcPr>
          <w:p>
            <w:pPr/>
            <w:r/>
            <w:r>
              <w:rPr/>
            </w:r>
            <w:r>
              <w:rPr>
                <w:b w:val="0"/>
              </w:rPr>
              <w:t>Rp juta</w:t>
            </w:r>
          </w:p>
        </w:tc>
        <w:tc>
          <w:tcPr>
            <w:tcW w:type="dxa" w:w="1234"/>
          </w:tcPr>
          <w:p>
            <w:pPr/>
            <w:r/>
            <w:r>
              <w:rPr/>
            </w:r>
            <w:r>
              <w:rPr>
                <w:b w:val="0"/>
              </w:rPr>
              <w:t>≥5 (LAM Teknik)</w:t>
            </w:r>
          </w:p>
        </w:tc>
        <w:tc>
          <w:tcPr>
            <w:tcW w:type="dxa" w:w="1234"/>
          </w:tcPr>
          <w:p>
            <w:pPr/>
            <w:r/>
            <w:r>
              <w:rPr/>
            </w:r>
            <w:r>
              <w:rPr>
                <w:b w:val="0"/>
              </w:rPr>
              <w:t>5</w:t>
            </w:r>
          </w:p>
        </w:tc>
        <w:tc>
          <w:tcPr>
            <w:tcW w:type="dxa" w:w="1234"/>
          </w:tcPr>
          <w:p>
            <w:pPr/>
            <w:r/>
            <w:r>
              <w:rPr/>
            </w:r>
            <w:r>
              <w:rPr>
                <w:b w:val="0"/>
              </w:rPr>
              <w:t>6</w:t>
            </w:r>
          </w:p>
        </w:tc>
        <w:tc>
          <w:tcPr>
            <w:tcW w:type="dxa" w:w="1234"/>
          </w:tcPr>
          <w:p>
            <w:pPr/>
            <w:r/>
            <w:r>
              <w:rPr/>
            </w:r>
            <w:r>
              <w:rPr>
                <w:b w:val="0"/>
              </w:rPr>
              <w:t>6.5</w:t>
            </w:r>
          </w:p>
        </w:tc>
      </w:tr>
      <w:tr>
        <w:tc>
          <w:tcPr>
            <w:tcW w:type="dxa" w:w="1234"/>
          </w:tcPr>
          <w:p>
            <w:pPr/>
            <w:r/>
            <w:r>
              <w:rPr/>
            </w:r>
            <w:r>
              <w:rPr>
                <w:b w:val="0"/>
              </w:rPr>
              <w:t>15</w:t>
            </w:r>
          </w:p>
        </w:tc>
        <w:tc>
          <w:tcPr>
            <w:tcW w:type="dxa" w:w="1234"/>
          </w:tcPr>
          <w:p>
            <w:pPr/>
            <w:r/>
            <w:r>
              <w:rPr/>
            </w:r>
            <w:r>
              <w:rPr>
                <w:b w:val="0"/>
              </w:rPr>
              <w:t>Persentase dana PkM terhadap total dana perguruan tinggi [IKU]</w:t>
            </w:r>
          </w:p>
        </w:tc>
        <w:tc>
          <w:tcPr>
            <w:tcW w:type="dxa" w:w="1234"/>
          </w:tcPr>
          <w:p>
            <w:pPr/>
            <w:r/>
            <w:r>
              <w:rPr/>
            </w:r>
            <w:r>
              <w:rPr>
                <w:b w:val="0"/>
              </w:rPr>
              <w:t>%</w:t>
            </w:r>
          </w:p>
        </w:tc>
        <w:tc>
          <w:tcPr>
            <w:tcW w:type="dxa" w:w="1234"/>
          </w:tcPr>
          <w:p>
            <w:pPr/>
            <w:r/>
            <w:r>
              <w:rPr/>
            </w:r>
            <w:r>
              <w:rPr>
                <w:b w:val="0"/>
              </w:rPr>
              <w:t>≥5 (praktik baik referensi)</w:t>
            </w:r>
          </w:p>
        </w:tc>
        <w:tc>
          <w:tcPr>
            <w:tcW w:type="dxa" w:w="1234"/>
          </w:tcPr>
          <w:p>
            <w:pPr/>
            <w:r/>
            <w:r>
              <w:rPr/>
            </w:r>
            <w:r>
              <w:rPr>
                <w:b w:val="0"/>
              </w:rPr>
              <w:t>2</w:t>
            </w:r>
          </w:p>
        </w:tc>
        <w:tc>
          <w:tcPr>
            <w:tcW w:type="dxa" w:w="1234"/>
          </w:tcPr>
          <w:p>
            <w:pPr/>
            <w:r/>
            <w:r>
              <w:rPr/>
            </w:r>
            <w:r>
              <w:rPr>
                <w:b w:val="0"/>
              </w:rPr>
              <w:t>3.5</w:t>
            </w:r>
          </w:p>
        </w:tc>
        <w:tc>
          <w:tcPr>
            <w:tcW w:type="dxa" w:w="1234"/>
          </w:tcPr>
          <w:p>
            <w:pPr/>
            <w:r/>
            <w:r>
              <w:rPr/>
            </w:r>
            <w:r>
              <w:rPr>
                <w:b w:val="0"/>
              </w:rPr>
              <w:t>5</w:t>
            </w:r>
          </w:p>
        </w:tc>
      </w:tr>
      <w:tr>
        <w:tc>
          <w:tcPr>
            <w:tcW w:type="dxa" w:w="1234"/>
          </w:tcPr>
          <w:p>
            <w:pPr/>
            <w:r/>
            <w:r>
              <w:rPr/>
            </w:r>
            <w:r>
              <w:rPr/>
              <w:t>*19</w:t>
            </w:r>
          </w:p>
        </w:tc>
        <w:tc>
          <w:tcPr>
            <w:tcW w:type="dxa" w:w="1234"/>
          </w:tcPr>
          <w:p>
            <w:pPr/>
            <w:r/>
            <w:r>
              <w:rPr/>
            </w:r>
            <w:r>
              <w:rPr/>
              <w:t>Pemenuhan pengelolaan dana PkM atas 5 aspek (transparansi, kepatuhan regulasi, efisiensi-efektivitas, pengelolaan risiko, audit internal-eksternal) [IKU]</w:t>
            </w:r>
          </w:p>
        </w:tc>
        <w:tc>
          <w:tcPr>
            <w:tcW w:type="dxa" w:w="1234"/>
          </w:tcPr>
          <w:p>
            <w:pPr/>
            <w:r/>
            <w:r>
              <w:rPr/>
            </w:r>
            <w:r>
              <w:rPr/>
              <w:t>Status</w:t>
            </w:r>
          </w:p>
        </w:tc>
        <w:tc>
          <w:tcPr>
            <w:tcW w:type="dxa" w:w="1234"/>
          </w:tcPr>
          <w:p>
            <w:pPr/>
            <w:r/>
            <w:r>
              <w:rPr/>
            </w:r>
            <w:r>
              <w:rPr/>
              <w:t>5 aspek (LAM Teknik Butir 8)</w:t>
            </w:r>
          </w:p>
        </w:tc>
        <w:tc>
          <w:tcPr>
            <w:tcW w:type="dxa" w:w="1234"/>
          </w:tcPr>
          <w:p>
            <w:pPr/>
            <w:r/>
            <w:r>
              <w:rPr/>
            </w:r>
            <w:r>
              <w:rPr/>
              <w:t>5 aspek</w:t>
            </w:r>
          </w:p>
        </w:tc>
        <w:tc>
          <w:tcPr>
            <w:tcW w:type="dxa" w:w="1234"/>
          </w:tcPr>
          <w:p>
            <w:pPr/>
            <w:r/>
            <w:r>
              <w:rPr/>
            </w:r>
            <w:r>
              <w:rPr/>
              <w:t>5 aspek</w:t>
            </w:r>
          </w:p>
        </w:tc>
        <w:tc>
          <w:tcPr>
            <w:tcW w:type="dxa" w:w="1234"/>
          </w:tcPr>
          <w:p>
            <w:pPr/>
            <w:r/>
            <w:r>
              <w:rPr/>
            </w:r>
            <w:r>
              <w:rPr/>
              <w:t>5 aspek</w:t>
            </w:r>
          </w:p>
        </w:tc>
      </w:tr>
      <w:tr>
        <w:tc>
          <w:tcPr>
            <w:tcW w:type="dxa" w:w="1234"/>
          </w:tcPr>
          <w:p>
            <w:pPr/>
            <w:r/>
            <w:r>
              <w:rPr/>
            </w:r>
            <w:r>
              <w:rPr/>
              <w:t>*20</w:t>
            </w:r>
          </w:p>
        </w:tc>
        <w:tc>
          <w:tcPr>
            <w:tcW w:type="dxa" w:w="1234"/>
          </w:tcPr>
          <w:p>
            <w:pPr/>
            <w:r/>
            <w:r>
              <w:rPr/>
            </w:r>
            <w:r>
              <w:rPr/>
              <w:t>Persentase dana PkM eksternal (luar negeri/dalam negeri/kerja sama DUDI-pemerintah) terhadap total dana PkM per dosen [IKT]</w:t>
            </w:r>
          </w:p>
        </w:tc>
        <w:tc>
          <w:tcPr>
            <w:tcW w:type="dxa" w:w="1234"/>
          </w:tcPr>
          <w:p>
            <w:pPr/>
            <w:r/>
            <w:r>
              <w:rPr/>
            </w:r>
            <w:r>
              <w:rPr/>
              <w:t>%</w:t>
            </w:r>
          </w:p>
        </w:tc>
        <w:tc>
          <w:tcPr>
            <w:tcW w:type="dxa" w:w="1234"/>
          </w:tcPr>
          <w:p>
            <w:pPr/>
            <w:r/>
            <w:r>
              <w:rPr/>
            </w:r>
            <w:r>
              <w:rPr/>
              <w:t>-</w:t>
            </w:r>
          </w:p>
        </w:tc>
        <w:tc>
          <w:tcPr>
            <w:tcW w:type="dxa" w:w="1234"/>
          </w:tcPr>
          <w:p>
            <w:pPr/>
            <w:r/>
            <w:r>
              <w:rPr/>
            </w:r>
            <w:r>
              <w:rPr/>
              <w:t>10</w:t>
            </w:r>
          </w:p>
        </w:tc>
        <w:tc>
          <w:tcPr>
            <w:tcW w:type="dxa" w:w="1234"/>
          </w:tcPr>
          <w:p>
            <w:pPr/>
            <w:r/>
            <w:r>
              <w:rPr/>
            </w:r>
            <w:r>
              <w:rPr/>
              <w:t>15</w:t>
            </w:r>
          </w:p>
        </w:tc>
        <w:tc>
          <w:tcPr>
            <w:tcW w:type="dxa" w:w="1234"/>
          </w:tcPr>
          <w:p>
            <w:pPr/>
            <w:r/>
            <w:r>
              <w:rPr/>
            </w:r>
            <w:r>
              <w:rPr/>
              <w:t>20</w:t>
            </w:r>
          </w:p>
        </w:tc>
      </w:tr>
    </w:tbl>
    <w:p>
      <w:pPr/>
    </w:p>
    <w:p>
      <w:pPr>
        <w:spacing w:before="280" w:after="120"/>
      </w:pPr>
      <w:r>
        <w:rPr>
          <w:b/>
          <w:sz w:val="26"/>
        </w:rPr>
        <w:t>DOKUMEN TERKAIT PELAKSANAAN STANDAR</w:t>
      </w:r>
    </w:p>
    <w:p>
      <w:pPr>
        <w:pStyle w:val="ListNumber"/>
        <w:spacing w:after="120"/>
      </w:pPr>
      <w:r>
        <w:rPr/>
        <w:t>Dokumen kebijakan dan penetapan Standar Masukan PkM Program Studi Teknik Informatika (Surat Keputusan Rektor).</w:t>
      </w:r>
    </w:p>
    <w:p>
      <w:pPr>
        <w:pStyle w:val="ListNumber"/>
        <w:spacing w:after="120"/>
      </w:pPr>
      <w:r>
        <w:rPr/>
        <w:t>Dokumen Renstra PkM dan roadmap PkM program studi yang memuat 4 unsur wajib, beserta laporan kesesuaian kegiatan PkM terhadap roadmap.</w:t>
      </w:r>
    </w:p>
    <w:p>
      <w:pPr>
        <w:pStyle w:val="ListNumber"/>
        <w:spacing w:after="120"/>
      </w:pPr>
      <w:r>
        <w:rPr/>
        <w:t>Buku Panduan PkM FTII/Universitas.</w:t>
      </w:r>
    </w:p>
    <w:p>
      <w:pPr>
        <w:pStyle w:val="ListNumber"/>
        <w:spacing w:after="120"/>
      </w:pPr>
      <w:r>
        <w:rPr/>
        <w:t>Dokumen usulan PkM dan hasil seleksi yang menunjukkan kesesuaian kualifikasi ketua/anggota/tenaga bantu PkM dengan skema.</w:t>
      </w:r>
    </w:p>
    <w:p>
      <w:pPr>
        <w:pStyle w:val="ListNumber"/>
        <w:spacing w:after="120"/>
      </w:pPr>
      <w:r>
        <w:rPr/>
        <w:t>Dokumentasi kegiatan pengembangan kompetensi pelaksana PkM (pelatihan, workshop, seminar, pendampingan proposal hibah, pendampingan artikel ilmiah) dan daftar hadir/partisipasi dosen.</w:t>
      </w:r>
    </w:p>
    <w:p>
      <w:pPr>
        <w:pStyle w:val="ListNumber"/>
        <w:spacing w:after="120"/>
      </w:pPr>
      <w:r>
        <w:rPr/>
        <w:t>Laporan PkM dosen per tahun beserta pelaporan proporsi sumber pendanaan (luar negeri/dalam negeri/PT-mandiri).</w:t>
      </w:r>
    </w:p>
    <w:p>
      <w:pPr>
        <w:pStyle w:val="ListNumber"/>
        <w:spacing w:after="120"/>
      </w:pPr>
      <w:r>
        <w:rPr/>
        <w:t>Daftar tenaga kependidikan dan laboran PkM.</w:t>
      </w:r>
    </w:p>
    <w:p>
      <w:pPr>
        <w:pStyle w:val="ListNumber"/>
        <w:spacing w:after="120"/>
      </w:pPr>
      <w:r>
        <w:rPr/>
        <w:t>Dokumen inventarisasi sarana-prasarana PkM (ruang unit pengelola, sarana referensi ilmiah, prasarana, K3) dan laporan audit fasilitas.</w:t>
      </w:r>
    </w:p>
    <w:p>
      <w:pPr>
        <w:pStyle w:val="ListNumber"/>
        <w:spacing w:after="120"/>
      </w:pPr>
      <w:r>
        <w:rPr/>
        <w:t>Data log aktivitas dan cakupan penggunaan Sistem Informasi PkM.</w:t>
      </w:r>
    </w:p>
    <w:p>
      <w:pPr>
        <w:pStyle w:val="ListNumber"/>
        <w:spacing w:after="120"/>
      </w:pPr>
      <w:r>
        <w:rPr/>
        <w:t>Laporan realisasi dana PkM per dosen dan persentase dana PkM terhadap total dana perguruan tinggi.</w:t>
      </w:r>
    </w:p>
    <w:p>
      <w:pPr>
        <w:pStyle w:val="ListNumber"/>
        <w:spacing w:after="120"/>
      </w:pPr>
      <w:r>
        <w:rPr/>
        <w:t>Dokumen kerja sama pendanaan PkM eksternal (MoU/MoA/IA) beserta proporsi sumber pendanaan per dosen.</w:t>
      </w:r>
    </w:p>
    <w:p>
      <w:pPr>
        <w:pStyle w:val="ListNumber"/>
        <w:spacing w:after="120"/>
      </w:pPr>
      <w:r>
        <w:rPr/>
        <w:t>Laporan survei kepuasan dosen, mahasiswa, dan mitra PkM.</w:t>
      </w:r>
    </w:p>
    <w:p>
      <w:pPr>
        <w:pStyle w:val="ListNumber"/>
        <w:spacing w:after="120"/>
      </w:pPr>
      <w:r>
        <w:rPr/>
        <w:t>Dokumen root-cause analysis dan SWOT tahunan atas keempat sub-standar Masukan PkM, sesuai template Standar Penjaminan Mutu Internal FTII, beserta berita acara pembahasannya dalam RTM.</w:t>
      </w:r>
    </w:p>
    <w:p>
      <w:pPr>
        <w:pStyle w:val="ListNumber"/>
        <w:spacing w:after="120"/>
      </w:pPr>
      <w:r>
        <w:rPr/>
        <w:t>Laporan Audit Mutu Internal (AMI) dan Berita Acara Rapat Tinjauan Manajemen (RTM) atas Standar Masukan PkM.</w:t>
      </w:r>
    </w:p>
    <w:p>
      <w:pPr>
        <w:pStyle w:val="ListNumber"/>
        <w:spacing w:after="120"/>
      </w:pPr>
      <w:r>
        <w:rPr/>
        <w:t>Rencana Tindak Lanjut (RTL) hasil evaluasi dan AMI periode berjalan.</w:t>
      </w:r>
    </w:p>
    <w:p>
      <w:pPr>
        <w:pStyle w:val="ListNumber"/>
        <w:spacing w:after="120"/>
      </w:pPr>
      <w:r>
        <w:rPr/>
        <w:t>Dokumen pemetaan gap Standar Masukan PkM terhadap dokumen rujukan (standarmasukanpkm.docx).</w:t>
      </w:r>
    </w:p>
    <w:p>
      <w:pPr>
        <w:spacing w:before="280" w:after="120"/>
      </w:pPr>
      <w:r>
        <w:rPr>
          <w:b/>
          <w:sz w:val="26"/>
        </w:rPr>
        <w:t>REFERENSI</w:t>
      </w:r>
    </w:p>
    <w:p>
      <w:pPr>
        <w:pStyle w:val="ListNumber"/>
        <w:spacing w:after="120"/>
      </w:pPr>
      <w:r>
        <w:rPr/>
        <w:t>Undang-Undang Republik Indonesia Nomor 12 Tahun 2012 tentang Pendidikan Tinggi.</w:t>
      </w:r>
    </w:p>
    <w:p>
      <w:pPr>
        <w:pStyle w:val="ListNumber"/>
        <w:spacing w:after="120"/>
      </w:pPr>
      <w:r>
        <w:rPr/>
        <w:t>Peraturan Pemerintah Republik Indonesia Nomor 4 Tahun 2014 tentang Penyelenggaraan Pendidikan Tinggi dan Pengelolaan Perguruan Tinggi.</w:t>
      </w:r>
    </w:p>
    <w:p>
      <w:pPr>
        <w:pStyle w:val="ListNumber"/>
        <w:spacing w:after="120"/>
      </w:pPr>
      <w:r>
        <w:rPr/>
        <w:t>Peraturan Menteri Pendidikan, Kebudayaan, Riset, dan Teknologi Republik Indonesia Nomor 53 Tahun 2023 tentang Penjaminan Mutu Pendidikan Tinggi.</w:t>
      </w:r>
    </w:p>
    <w:p>
      <w:pPr>
        <w:pStyle w:val="ListNumber"/>
        <w:spacing w:after="120"/>
      </w:pPr>
      <w:r>
        <w:rPr/>
        <w:t>Peraturan Badan Akreditasi Nasional Perguruan Tinggi (BAN-PT) Nomor 13 Tahun 2023 tentang Sistem Akreditasi Nasional (SAN).</w:t>
      </w:r>
    </w:p>
    <w:p>
      <w:pPr>
        <w:pStyle w:val="ListNumber"/>
        <w:spacing w:after="120"/>
      </w:pPr>
      <w:r>
        <w:rPr/>
        <w:t>Peraturan Badan Akreditasi Nasional Perguruan Tinggi (BAN-PT) Nomor 5 Tahun 2024 tentang Pemantauan dan Evaluasi Mutu Perguruan Tinggi (PMPT).</w:t>
      </w:r>
    </w:p>
    <w:p>
      <w:pPr>
        <w:pStyle w:val="ListNumber"/>
        <w:spacing w:after="120"/>
      </w:pPr>
      <w:r>
        <w:rPr/>
        <w:t>Matriks Penilaian LED-LKPS Sarjana APS Akademik dan Vokasi Teknik 2025 untuk Pasca-Akreditasi Pertama dan Unggul, Lembaga Akreditasi Mandiri Teknik (LAM Teknik).</w:t>
      </w:r>
    </w:p>
    <w:p>
      <w:pPr>
        <w:pStyle w:val="ListNumber"/>
        <w:spacing w:after="120"/>
      </w:pPr>
      <w:r>
        <w:rPr/>
        <w:t>Pedoman Penyusunan Laporan Evaluasi Diri (LEDPS) — Lampiran 2 Peraturan LAM Teknik Nomor 5 Tahun 2025.</w:t>
      </w:r>
    </w:p>
    <w:p>
      <w:pPr>
        <w:pStyle w:val="ListNumber"/>
        <w:spacing w:after="120"/>
      </w:pPr>
      <w:r>
        <w:rPr/>
        <w:t>Kriteria Terakreditasi Unggul 2.1, Lembaga Akreditasi Mandiri Informatika dan Komputer (LAM INFOKOM), Instrumen 1.0.</w:t>
      </w:r>
    </w:p>
    <w:p>
      <w:pPr>
        <w:pStyle w:val="ListNumber"/>
        <w:spacing w:after="120"/>
      </w:pPr>
      <w:r>
        <w:rPr/>
        <w:t>Peraturan Lembaga Akreditasi Mandiri Informatika dan Komputer Nomor 11/PERLAM/MA/LAM-INFOKOM/X/2025 tentang Instrumen Akreditasi Program Studi 2.1 pada Program Sarjana Lingkup Informatika dan Komputer.</w:t>
      </w:r>
    </w:p>
    <w:p>
      <w:pPr>
        <w:pStyle w:val="ListNumber"/>
        <w:spacing w:after="120"/>
      </w:pPr>
      <w:r>
        <w:rPr/>
        <w:t>Statuta Universitas Stikubank (UNISBANK) Semarang Tahun 2020.</w:t>
      </w:r>
    </w:p>
    <w:p>
      <w:pPr>
        <w:pStyle w:val="ListNumber"/>
        <w:spacing w:after="120"/>
      </w:pPr>
      <w:r>
        <w:rPr/>
        <w:t>Rencana Strategis (Renstra) Universitas Stikubank (UNISBANK) Semarang Tahun 2024-2027.</w:t>
      </w:r>
    </w:p>
    <w:p>
      <w:pPr>
        <w:pStyle w:val="ListNumber"/>
        <w:spacing w:after="120"/>
      </w:pPr>
      <w:r>
        <w:rPr/>
        <w:t>Rencana Strategis (Renstra) Penelitian dan Pengabdian kepada Masyarakat Universitas Stikubank Tahun 2021-2025.</w:t>
      </w:r>
    </w:p>
    <w:p>
      <w:pPr>
        <w:pStyle w:val="ListNumber"/>
        <w:spacing w:after="120"/>
      </w:pPr>
      <w:r>
        <w:rPr/>
        <w:t>Rencana Strategis (Renstra) Fakultas Teknologi Informasi dan Industri (FTII) Universitas Stikubank (UNISBANK) Semarang Tahun 2024-2027.</w:t>
      </w:r>
    </w:p>
    <w:p>
      <w:pPr>
        <w:pStyle w:val="ListNumber"/>
        <w:spacing w:after="120"/>
      </w:pPr>
      <w:r>
        <w:rPr/>
        <w:t>Standar Visi Misi FTII versi Unggul (Standar_Visi_Misi_Unggul_FTII.docx).</w:t>
      </w:r>
    </w:p>
    <w:p>
      <w:pPr>
        <w:pStyle w:val="ListNumber"/>
        <w:spacing w:after="120"/>
      </w:pPr>
      <w:r>
        <w:rPr/>
        <w:t>Standar Penjaminan Mutu Internal FTII versi Unggul (Standar_Penjaminan_Mutu_Internal_Unggul_FTII.docx).</w:t>
      </w:r>
    </w:p>
    <w:p>
      <w:pPr>
        <w:pStyle w:val="ListNumber"/>
        <w:spacing w:after="120"/>
      </w:pPr>
      <w:r>
        <w:rPr/>
        <w:t>Standar Masukan Penelitian Program Studi Teknik Informatika versi Unggul (standarmasukanpenelitianunggul.docx).</w:t>
      </w:r>
    </w:p>
    <w:p>
      <w:pPr>
        <w:pStyle w:val="ListNumber"/>
        <w:spacing w:after="120"/>
      </w:pPr>
      <w:r>
        <w:rPr/>
        <w:t>Dokumen pemetaan gap Standar Masukan PkM Program Studi Teknik Informatika (standarmasukanpkm.docx).</w:t>
      </w:r>
    </w:p>
    <w:p>
      <w:pP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