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PENJAMINAN MUTU INTERNAL</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
      <w:pPr>
        <w:spacing w:after="120"/>
      </w:pPr>
      <w:r>
        <w:rPr>
          <w:b w:val="0"/>
          <w:i w:val="0"/>
        </w:rPr>
        <w:t>Dokumen ini merupakan revisi dari Standar Penjaminan Mutu Internal FTII UNISBANK (efektif 24 Desember 2024), disempurnakan berdasarkan hasil pemetaan kepatuhan terhadap Kriteria C.7 Sistem Penjaminan Mutu pada Pedoman Penyusunan LEDPS LAM Teknik 2025 (Kepatuhan_Standar_SPMI_FTII_vs_Kriteria_C7_LEDPS_LAM_Teknik.docx). Pemetaan tersebut menyimpulkan bahwa Standar SPMI FTII — sebagai standar payung yang mengatur siklus PPEPP bagi seluruh standar turunan FTII — merupakan AKAR MASALAH dari pola gap yang berulang pada pemetaan Kriteria C.1 sampai C.6: tidak ada kewajiban root-cause analysis atas indikator yang tidak tercapai, dan analisis SWOT tidak pernah disyaratkan sebagai siklus evaluasi berkala. Revisi pada dokumen ini dirancang agar perbaikannya bersifat CASCADING — satu perubahan pada Standar SPMI ini otomatis menutup gap yang sama pada seluruh standar turunan FTII (Visi Misi, Tata Kelola, Kerjasama, Kemahasiswaan, Pendidikan, Penelitian, PkM, SDM, Sarana-Prasarana), karena seluruh standar tersebut tunduk pada mekanisme evaluasi PPEPP yang diatur standar ini.</w:t>
      </w:r>
    </w:p>
    <w:p/>
    <w:p>
      <w:pPr>
        <w:spacing w:before="280" w:after="120"/>
      </w:pPr>
      <w:r>
        <w:rPr>
          <w:b/>
          <w:sz w:val="26"/>
        </w:rPr>
        <w:t>1. RASIONAL</w:t>
      </w:r>
    </w:p>
    <w:p>
      <w:pPr>
        <w:spacing w:after="120"/>
      </w:pPr>
      <w:r>
        <w:rPr>
          <w:b w:val="0"/>
          <w:i w:val="0"/>
        </w:rPr>
        <w:t>Fakultas Teknologi Informasi dan Industri (FTII) UNISBANK menetapkan Standar Penjaminan Mutu Internal (SPMI) sebagai perangkat penjamin budaya mutu (quality culture) yang terintegrasi, berkelanjutan, dan akuntabel dalam penyelenggaraan Tridharma Perguruan Tinggi, sekaligus sebagai standar payung yang mengatur pelaksanaan siklus Penetapan, Pelaksanaan, Evaluasi, Pengendalian, dan Peningkatan (PPEPP) bagi seluruh standar turunan di lingkungan FTII.</w:t>
      </w:r>
    </w:p>
    <w:p>
      <w:pPr>
        <w:spacing w:after="120"/>
      </w:pPr>
      <w:r>
        <w:rPr>
          <w:b w:val="0"/>
          <w:i w:val="0"/>
        </w:rPr>
        <w:t>Standar ini disusun tidak hanya untuk memenuhi ketentuan minimal Permendikbudristek Nomor 53 Tahun 2023 tentang Penjaminan Mutu Pendidikan Tinggi, tetapi secara khusus dirancang agar setiap indikator kinerjanya memenuhi atau melampaui deskriptor tertinggi Kriteria C.7 Sistem Penjaminan Mutu pada Pedoman Penyusunan LEDPS LAM Teknik 2025, yang mencakup: keberadaan unit penjaminan mutu dan independensi auditor, kelengkapan perangkat SPMI dan pengakuan mutu eksternal, Indikator Kinerja Tambahan (IKT) berdimensi daya saing internasional, keterlaksanaan PPEPP dengan bukti efektivitas dan peningkatan standar yang terukur, evaluasi capaian kinerja yang mencakup analisis akar masalah (root-cause analysis), serta pengukuran kepuasan pemangku kepentingan terhadap layanan manajemen.</w:t>
      </w:r>
    </w:p>
    <w:p>
      <w:pPr>
        <w:spacing w:after="120"/>
      </w:pPr>
      <w:r>
        <w:rPr>
          <w:b w:val="0"/>
          <w:i w:val="0"/>
        </w:rPr>
        <w:t>Penyusunan standar ini didasarkan pada hasil pemetaan kepatuhan terhadap Kriteria C.7 yang mengidentifikasi 6 (enam) area prioritas penyesuaian: (a) mekanisme analisis akar masalah (root-cause analysis) belum diwajibkan secara eksplisit sebagai bagian evaluasi capaian kinerja tahunan; (b) analisis SWOT belum diwajibkan sebagai siklus evaluasi berkala, hanya implisit pada tahap penyusunan awal standar; (c) independensi auditor mutu internal belum dinyatakan eksplisit dalam definisi maupun pernyataan standar; (d) Indikator Kinerja Tambahan (IKT) berdimensi daya saing internasional belum tersedia sama sekali; (e) pengukuran kepuasan pemangku kepentingan terhadap layanan manajemen belum menjadi indikator; dan (f) bukti efektivitas pelaksanaan penjaminan mutu serta bukti peningkatan standar belum dirumuskan secara terukur, baru bersifat implisit/kualitatif.</w:t>
      </w:r>
    </w:p>
    <w:p>
      <w:pPr>
        <w:spacing w:after="120"/>
      </w:pPr>
      <w:r>
        <w:rPr>
          <w:b w:val="0"/>
          <w:i w:val="0"/>
        </w:rPr>
        <w:t>Karena Standar SPMI berfungsi sebagai payung bagi seluruh standar turunan FTII, perbaikan pada keenam area di atas dirancang agar berlaku wajib bagi SEMUA standar turunan (Visi Misi, Tata Kelola, Kerjasama, Kemahasiswaan, Masukan/Proses/Luaran Pendidikan-Penelitian-PkM, SDM, Sarana-Prasarana), sehingga satu revisi ini menutup pola gap identik yang ditemukan berulang pada pemetaan Kriteria C.1 sampai C.6.</w:t>
      </w:r>
    </w:p>
    <w:p>
      <w:pPr>
        <w:spacing w:before="280" w:after="120"/>
      </w:pPr>
      <w:r>
        <w:rPr>
          <w:b/>
          <w:sz w:val="26"/>
        </w:rPr>
        <w:t>2. PIHAK YANG BERTANGGUNG JAWAB</w:t>
      </w:r>
    </w:p>
    <w:p>
      <w:pPr>
        <w:pStyle w:val="ListNumber"/>
        <w:spacing w:after="120"/>
      </w:pPr>
      <w:r>
        <w:t>Penetapan: Rektor menetapkan Standar Penjaminan Mutu Internal berdasarkan usulan Direktorat Jaminan Mutu (DJM) dan masukan FTII, termasuk penetapan mekanisme root-cause analysis dan SWOT berkala yang berlaku bagi seluruh standar turunan.</w:t>
      </w:r>
    </w:p>
    <w:p>
      <w:pPr>
        <w:pStyle w:val="ListNumber"/>
        <w:spacing w:after="120"/>
      </w:pPr>
      <w:r>
        <w:t>Pelaksanaan: Direktorat Jaminan Mutu (DJM), Unit Jaminan Mutu (UJM) Fakultas, Gugus Kendali Mutu (GKM) Program Studi, pimpinan fakultas dan program studi, serta seluruh unit kerja FTII melaksanakan SPMI termasuk kewajiban root-cause analysis, SWOT tahunan, dan survei kepuasan pemangku kepentingan.</w:t>
      </w:r>
    </w:p>
    <w:p>
      <w:pPr>
        <w:pStyle w:val="ListNumber"/>
        <w:spacing w:after="120"/>
      </w:pPr>
      <w:r>
        <w:t>Evaluasi: DJM melalui Audit Mutu Internal (AMI) yang dilaksanakan oleh auditor mutu internal yang independen (tidak mengaudit unit kerja tempat ia bertugas), Monitoring dan Evaluasi (Monev), dan Rapat Tinjauan Manajemen (RTM) yang WAJIB memuat pembahasan hasil root-cause analysis dan SWOT tahunan.</w:t>
      </w:r>
    </w:p>
    <w:p>
      <w:pPr>
        <w:pStyle w:val="ListNumber"/>
        <w:spacing w:after="120"/>
      </w:pPr>
      <w:r>
        <w:t>Pengendalian: Rektor, DJM, UJM, Dekan FTII, dan GKM memastikan tindak lanjut hasil AMI, root-cause analysis, dan SWOT dilaksanakan tepat waktu melalui Rencana Tindak Lanjut (RTL) yang terukur.</w:t>
      </w:r>
    </w:p>
    <w:p>
      <w:pPr>
        <w:pStyle w:val="ListNumber"/>
        <w:spacing w:after="120"/>
      </w:pPr>
      <w:r>
        <w:t>Peningkatan: DJM bersama UJM, GKM, Dekan FTII, Ketua Program Studi, dan Rektor merumuskan peningkatan standar berdasarkan hasil root-cause analysis, SWOT, dan survei kepuasan pemangku kepentingan, termasuk penguatan daya saing internasional sistem penjaminan mutu.</w:t>
      </w:r>
    </w:p>
    <w:p>
      <w:pPr>
        <w:spacing w:before="280" w:after="120"/>
      </w:pPr>
      <w:r>
        <w:rPr>
          <w:b/>
          <w:sz w:val="26"/>
        </w:rPr>
        <w:t>3. PERNYATAAN STANDAR</w:t>
      </w:r>
    </w:p>
    <w:p>
      <w:pPr>
        <w:pStyle w:val="ListNumber"/>
        <w:spacing w:after="120"/>
      </w:pPr>
      <w:r>
        <w:t>Universitas Stikubank (UNISBANK) Semarang melalui Direktorat Jaminan Mutu (DJM) wajib memiliki perangkat Sistem Penjaminan Mutu Internal (SPMI) yang meliputi Kebijakan SPMI, Pedoman Penerapan Siklus PPEPP, Standar SPMI, SOP, serta tata cara pendokumentasian implementasi SPMI, ditetapkan Rektor dan terdokumentasi lengkap.</w:t>
      </w:r>
    </w:p>
    <w:p>
      <w:pPr>
        <w:pStyle w:val="ListNumber"/>
        <w:spacing w:after="120"/>
      </w:pPr>
      <w:r>
        <w:t>*Direktorat Jaminan Mutu (DJM) wajib mewajibkan mekanisme Analisis Faktor Keberhasilan dan Penghambat (root-cause analysis) sebagai bagian WAJIB evaluasi capaian kinerja tahunan pada SELURUH standar SPMI FTII (termasuk seluruh standar turunan), memuat identifikasi akar masalah atas indikator yang tidak tercapai dan identifikasi faktor pendukung keberhasilan, dilaksanakan paling sedikit 1 (satu) kali setiap tahun akademik sebagai bagian dari Rapat Tinjauan Manajemen (RTM).</w:t>
      </w:r>
    </w:p>
    <w:p>
      <w:pPr>
        <w:pStyle w:val="ListNumber"/>
        <w:spacing w:after="120"/>
      </w:pPr>
      <w:r>
        <w:t>*Direktorat Jaminan Mutu (DJM) wajib mewajibkan analisis SWOT (Strengths, Weaknesses, Opportunities, Threats) sebagai bagian SIKLUS EVALUASI BERKALA (bukan hanya tahap penyusunan/peninjauan awal standar) pada seluruh standar SPMI FTII, dilaksanakan paling sedikit 1 (satu) kali setiap tahun akademik, dengan hasilnya dijadikan dasar penyusunan strategi perbaikan dan pengembangan pada Rencana Tindak Lanjut (RTL).</w:t>
      </w:r>
    </w:p>
    <w:p>
      <w:pPr>
        <w:pStyle w:val="ListNumber"/>
        <w:spacing w:after="120"/>
      </w:pPr>
      <w:r>
        <w:t>Direktorat Jaminan Mutu (DJM) wajib mengintegrasikan implementasi SPMI ke seluruh fungsi manajemen perguruan tinggi, meliputi pendidikan, penelitian, pengabdian kepada masyarakat, tata pamong, sumber daya manusia, keuangan, sarana dan prasarana, serta kerja sama.</w:t>
      </w:r>
    </w:p>
    <w:p>
      <w:pPr>
        <w:pStyle w:val="ListNumber"/>
        <w:spacing w:after="120"/>
      </w:pPr>
      <w:r>
        <w:t>Universitas Stikubank (UNISBANK) Semarang wajib memiliki organisasi penjaminan mutu (DJM) yang mengoordinasikan pelaksanaan fungsi PPEPP secara sistematis, terstruktur, dan berkelanjutan.</w:t>
      </w:r>
    </w:p>
    <w:p>
      <w:pPr>
        <w:pStyle w:val="ListNumber"/>
        <w:spacing w:after="120"/>
      </w:pPr>
      <w:r>
        <w:t>FTII wajib melaksanakan Sistem Penjaminan Mutu Internal melalui siklus PPEPP (Penetapan, Pelaksanaan, Evaluasi, Pengendalian, dan Peningkatan) terhadap seluruh Standar Pendidikan Tinggi dan Standar Tambahan FTII.</w:t>
      </w:r>
    </w:p>
    <w:p>
      <w:pPr>
        <w:pStyle w:val="ListNumber"/>
        <w:spacing w:after="120"/>
      </w:pPr>
      <w:r>
        <w:t>*Auditor Mutu Internal wajib bersifat independen, yaitu tidak diperkenankan mengaudit unit kerja atau program studi tempat ia bertugas atau memiliki keterkaitan langsung, dibuktikan dengan surat pernyataan independensi dan matriks penugasan audit yang menghindari konflik kepentingan.</w:t>
      </w:r>
    </w:p>
    <w:p>
      <w:pPr>
        <w:pStyle w:val="ListNumber"/>
        <w:spacing w:after="120"/>
      </w:pPr>
      <w:r>
        <w:t>FTII wajib melaksanakan Audit Mutu Internal (AMI) akademik secara berkala terhadap standar pendidikan, penelitian, dan pengabdian kepada masyarakat pada setiap siklus PPEPP, dengan persentase temuan AMI yang ditindaklanjuti tepat waktu paling sedikit 80%, meningkat menuju 100% pada akhir siklus evaluasi.</w:t>
      </w:r>
    </w:p>
    <w:p>
      <w:pPr>
        <w:pStyle w:val="ListNumber"/>
        <w:spacing w:after="120"/>
      </w:pPr>
      <w:r>
        <w:t>*FTII wajib mengukur dan menekan persentase temuan Audit Mutu Internal yang berulang (repeat findings) pada siklus audit berikutnya sebagai bukti efektivitas pelaksanaan penjaminan mutu, dengan ambang paling banyak 15% temuan berulang, menurun menuju paling banyak 10% pada akhir siklus evaluasi.</w:t>
      </w:r>
    </w:p>
    <w:p>
      <w:pPr>
        <w:pStyle w:val="ListNumber"/>
        <w:spacing w:after="120"/>
      </w:pPr>
      <w:r>
        <w:t>*FTII wajib menunjukkan bukti peningkatan standar secara terukur, yaitu paling sedikit 1 (satu) standar SPMI turunan direvisi atau ditingkatkan ambangnya setiap tahun berdasarkan hasil evaluasi, root-cause analysis, dan SWOT tahunan.</w:t>
      </w:r>
    </w:p>
    <w:p>
      <w:pPr>
        <w:pStyle w:val="ListNumber"/>
        <w:spacing w:after="120"/>
      </w:pPr>
      <w:r>
        <w:t>FTII wajib melaksanakan monitoring dan evaluasi (monev) secara berkala dan terdokumentasi terhadap pelaksanaan standar akademik pada setiap siklus PPEPP.</w:t>
      </w:r>
    </w:p>
    <w:p>
      <w:pPr>
        <w:pStyle w:val="ListNumber"/>
        <w:spacing w:after="120"/>
      </w:pPr>
      <w:r>
        <w:t>Universitas Stikubank (UNISBANK) Semarang melalui DJM wajib melaksanakan Rapat Tinjauan Manajemen (RTM) secara berkala berdasarkan hasil AMI, root-cause analysis, SWOT, dan monev, untuk menetapkan tindakan koreksi, tindakan pencegahan, dan program peningkatan mutu berkelanjutan.</w:t>
      </w:r>
    </w:p>
    <w:p>
      <w:pPr>
        <w:pStyle w:val="ListNumber"/>
        <w:spacing w:after="120"/>
      </w:pPr>
      <w:r>
        <w:t>*Universitas Stikubank (UNISBANK) Semarang melalui DJM wajib memperoleh pengakuan mutu eksternal di luar akreditasi program studi, berupa audit eksternal dan/atau sertifikasi sistem manajemen mutu (misalnya ISO 9001 atau setara) paling sedikit 1 (satu) kali per siklus Renstra, sebagai pelengkap 100% program studi aktif yang terakreditasi LAM INFOKOM/BAN-PT.</w:t>
      </w:r>
    </w:p>
    <w:p>
      <w:pPr>
        <w:pStyle w:val="ListNumber"/>
        <w:spacing w:after="120"/>
      </w:pPr>
      <w:r>
        <w:t>*Direktorat Jaminan Mutu (DJM) wajib menyusun Indikator Kinerja Tambahan (IKT) Sistem Penjaminan Mutu yang memenuhi 4 (empat) unsur: (a) selaras tujuan strategis organisasi; (b) memberikan dampak positif dan terukur; (c) menunjukkan daya saing internasional sistem penjaminan mutu (mis. benchmarking SPMI dengan perguruan tinggi internasional, partisipasi forum mutu internasional); dan (d) telah diukur dan dianalisis untuk perbaikan UPPS dan program studi.</w:t>
      </w:r>
    </w:p>
    <w:p>
      <w:pPr>
        <w:pStyle w:val="ListNumber"/>
        <w:spacing w:after="120"/>
      </w:pPr>
      <w:r>
        <w:t>*Universitas Stikubank (UNISBANK) Semarang melalui DJM bersama FTII wajib melaksanakan survei kepuasan pemangku kepentingan (mahasiswa, dosen, tenaga kependidikan, lulusan, pengguna lulusan, mitra industri, dan mitra lainnya) terhadap layanan manajemen paling sedikit 1 (satu) kali per tahun, dengan target tingkat kepuasan paling sedikit 80% pada tahun pertama, meningkat menjadi paling sedikit 90% pada akhir siklus evaluasi.</w:t>
      </w:r>
    </w:p>
    <w:p>
      <w:pPr>
        <w:pStyle w:val="ListNumber"/>
        <w:spacing w:after="120"/>
      </w:pPr>
      <w:r>
        <w:t>FTII wajib menyusun dan melaksanakan tindak lanjut hasil AMI, root-cause analysis, SWOT, monev, dan RTM yang terdokumentasi dan dievaluasi keberhasilannya secara berkala.</w:t>
      </w:r>
    </w:p>
    <w:p>
      <w:pPr>
        <w:pStyle w:val="ListNumber"/>
        <w:spacing w:after="120"/>
      </w:pPr>
      <w:r>
        <w:t>Universitas Stikubank (UNISBANK) Semarang melalui DJM menyelenggarakan sosialisasi dokumen mutu, forum diskusi kelompok (FGD), dan kegiatan penguatan budaya mutu di tingkat universitas; FTII melaksanakan sosialisasi dan implementasi dokumen mutu di tingkat fakultas.</w:t>
      </w:r>
    </w:p>
    <w:p>
      <w:pPr>
        <w:pStyle w:val="ListNumber"/>
        <w:spacing w:after="120"/>
      </w:pPr>
      <w:r>
        <w:t>FTII wajib melaksanakan pendokumentasian dan pelaporan data implementasi dan luaran SPMI secara berkala, akurat, dan terdokumentasi, termasuk pelaporan melalui Pangkalan Data Pendidikan Tinggi (PD Dikti) sesuai ketentuan yang berlaku.</w:t>
      </w:r>
    </w:p>
    <w:p>
      <w:pPr>
        <w:pStyle w:val="ListNumber"/>
        <w:spacing w:after="120"/>
      </w:pPr>
      <w:r>
        <w:t>Universitas Stikubank (UNISBANK) Semarang melalui DJM wajib menyediakan sumber daya manusia yang kompeten dalam bidang penjaminan mutu, termasuk auditor mutu internal bersertifikasi dan independen sesuai bidangnya.</w:t>
      </w:r>
    </w:p>
    <w:p>
      <w:pPr>
        <w:pStyle w:val="ListNumber"/>
        <w:spacing w:after="120"/>
      </w:pPr>
      <w:r>
        <w:t>FTII wajib membangun budaya mutu berkelanjutan melalui keterlibatan aktif pimpinan UPPS, dosen, tenaga kependidikan, mahasiswa, alumni, pengguna lulusan, dan pemangku kepentingan relevan dalam seluruh proses penjaminan mutu, termasuk pengisian survei kepuasan pemangku kepentingan.</w:t>
      </w:r>
    </w:p>
    <w:p>
      <w:pPr>
        <w:pStyle w:val="ListNumber"/>
        <w:spacing w:after="120"/>
      </w:pPr>
      <w:r>
        <w:t>Standar Penjaminan Mutu Internal FTII dirumuskan dan diimplementasikan dengan mempertimbangkan kesesuaian terhadap Kriteria C.7 Sistem Penjaminan Mutu pada Pedoman Penyusunan LEDPS LAM Teknik 2025 dan Instrumen Akreditasi Program Studi LAM INFOKOM, sehingga implementasi SPMI mendukung kesiapan penyusunan Laporan Evaluasi Diri dan peningkatan mutu berkelanjutan.</w:t>
      </w:r>
    </w:p>
    <w:p>
      <w:pPr>
        <w:spacing w:after="120"/>
      </w:pPr>
      <w:r>
        <w:rPr>
          <w:b w:val="0"/>
          <w:i/>
        </w:rPr>
        <w:t>Catatan: pernyataan bertanda (*) adalah ketentuan BARU yang ditambahkan pada revisi ini untuk menutup gap hasil pemetaan Kriteria C.7.</w:t>
      </w:r>
    </w:p>
    <w:p>
      <w:pPr>
        <w:spacing w:before="280" w:after="120"/>
      </w:pPr>
      <w:r>
        <w:rPr>
          <w:b/>
          <w:sz w:val="26"/>
        </w:rPr>
        <w:t>4. INDIKATOR KINERJA (IKU / IKT)</w:t>
      </w:r>
    </w:p>
    <w:p>
      <w:pPr>
        <w:spacing w:after="120"/>
      </w:pPr>
      <w:r>
        <w:rPr>
          <w:b w:val="0"/>
          <w:i w:val="0"/>
        </w:rPr>
        <w:t>Seluruh ambang Indikator Kinerja Utama (IKU) pada tabel berikut ditetapkan setara dengan atau melampaui deskriptor tertinggi Kriteria C.7 Sistem Penjaminan Mutu LEDPS LAM Teknik 2025. Baris bertanda (*) adalah indikator BARU hasil penutupan gap pemetaan C.7.</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Utama (IKU)</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tcPr>
          <w:p>
            <w:r/>
            <w:r>
              <w:rPr>
                <w:b w:val="0"/>
                <w:sz w:val="19"/>
              </w:rPr>
              <w:t>1</w:t>
            </w:r>
          </w:p>
        </w:tc>
        <w:tc>
          <w:tcPr>
            <w:tcW w:type="dxa" w:w="1728"/>
          </w:tcPr>
          <w:p>
            <w:r/>
            <w:r>
              <w:rPr>
                <w:b w:val="0"/>
                <w:sz w:val="19"/>
              </w:rPr>
              <w:t>Ketersediaan perangkat SPMI lengkap (Kebijakan, Pedoman PPEPP, Standar, SOP, tata cara dokumentasi)</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shd w:val="clear" w:color="auto" w:fill="FFF2CC"/>
          </w:tcPr>
          <w:p>
            <w:r/>
            <w:r>
              <w:rPr>
                <w:b w:val="0"/>
                <w:sz w:val="19"/>
              </w:rPr>
              <w:t>*2</w:t>
            </w:r>
          </w:p>
        </w:tc>
        <w:tc>
          <w:tcPr>
            <w:tcW w:type="dxa" w:w="1728"/>
          </w:tcPr>
          <w:p>
            <w:r/>
            <w:r>
              <w:rPr>
                <w:b w:val="0"/>
                <w:sz w:val="19"/>
              </w:rPr>
              <w:t>Persentase standar SPMI turunan yang menerapkan root-cause analysis &amp; SWOT tahunan dalam RTM</w:t>
            </w:r>
          </w:p>
        </w:tc>
        <w:tc>
          <w:tcPr>
            <w:tcW w:type="dxa" w:w="1728"/>
          </w:tcPr>
          <w:p>
            <w:r/>
            <w:r>
              <w:rPr>
                <w:b w:val="0"/>
                <w:sz w:val="19"/>
              </w:rPr>
              <w:t>60%</w:t>
            </w:r>
          </w:p>
        </w:tc>
        <w:tc>
          <w:tcPr>
            <w:tcW w:type="dxa" w:w="1728"/>
          </w:tcPr>
          <w:p>
            <w:r/>
            <w:r>
              <w:rPr>
                <w:b w:val="0"/>
                <w:sz w:val="19"/>
              </w:rPr>
              <w:t>85%</w:t>
            </w:r>
          </w:p>
        </w:tc>
        <w:tc>
          <w:tcPr>
            <w:tcW w:type="dxa" w:w="1728"/>
          </w:tcPr>
          <w:p>
            <w:r/>
            <w:r>
              <w:rPr>
                <w:b w:val="0"/>
                <w:sz w:val="19"/>
              </w:rPr>
              <w:t>100%</w:t>
            </w:r>
          </w:p>
        </w:tc>
      </w:tr>
      <w:tr>
        <w:tc>
          <w:tcPr>
            <w:tcW w:type="dxa" w:w="1728"/>
            <w:shd w:val="clear" w:color="auto" w:fill="FFF2CC"/>
          </w:tcPr>
          <w:p>
            <w:r/>
            <w:r>
              <w:rPr>
                <w:b w:val="0"/>
                <w:sz w:val="19"/>
              </w:rPr>
              <w:t>*3</w:t>
            </w:r>
          </w:p>
        </w:tc>
        <w:tc>
          <w:tcPr>
            <w:tcW w:type="dxa" w:w="1728"/>
          </w:tcPr>
          <w:p>
            <w:r/>
            <w:r>
              <w:rPr>
                <w:b w:val="0"/>
                <w:sz w:val="19"/>
              </w:rPr>
              <w:t>Independensi auditor mutu internal terverifikasi (tidak mengaudit unit sendiri)</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tcPr>
          <w:p>
            <w:r/>
            <w:r>
              <w:rPr>
                <w:b w:val="0"/>
                <w:sz w:val="19"/>
              </w:rPr>
              <w:t>4</w:t>
            </w:r>
          </w:p>
        </w:tc>
        <w:tc>
          <w:tcPr>
            <w:tcW w:type="dxa" w:w="1728"/>
          </w:tcPr>
          <w:p>
            <w:r/>
            <w:r>
              <w:rPr>
                <w:b w:val="0"/>
                <w:sz w:val="19"/>
              </w:rPr>
              <w:t>Ketersediaan Laporan AMI (Akademik, Non-Akademik, Tata Pamong, Keuangan)</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5</w:t>
            </w:r>
          </w:p>
        </w:tc>
        <w:tc>
          <w:tcPr>
            <w:tcW w:type="dxa" w:w="1728"/>
          </w:tcPr>
          <w:p>
            <w:r/>
            <w:r>
              <w:rPr>
                <w:b w:val="0"/>
                <w:sz w:val="19"/>
              </w:rPr>
              <w:t>Persentase temuan AMI yang ditindaklanjuti (RTL) tepat waktu</w:t>
            </w:r>
          </w:p>
        </w:tc>
        <w:tc>
          <w:tcPr>
            <w:tcW w:type="dxa" w:w="1728"/>
          </w:tcPr>
          <w:p>
            <w:r/>
            <w:r>
              <w:rPr>
                <w:b w:val="0"/>
                <w:sz w:val="19"/>
              </w:rPr>
              <w:t>≥80%</w:t>
            </w:r>
          </w:p>
        </w:tc>
        <w:tc>
          <w:tcPr>
            <w:tcW w:type="dxa" w:w="1728"/>
          </w:tcPr>
          <w:p>
            <w:r/>
            <w:r>
              <w:rPr>
                <w:b w:val="0"/>
                <w:sz w:val="19"/>
              </w:rPr>
              <w:t>≥90%</w:t>
            </w:r>
          </w:p>
        </w:tc>
        <w:tc>
          <w:tcPr>
            <w:tcW w:type="dxa" w:w="1728"/>
          </w:tcPr>
          <w:p>
            <w:r/>
            <w:r>
              <w:rPr>
                <w:b w:val="0"/>
                <w:sz w:val="19"/>
              </w:rPr>
              <w:t>100%</w:t>
            </w:r>
          </w:p>
        </w:tc>
      </w:tr>
      <w:tr>
        <w:tc>
          <w:tcPr>
            <w:tcW w:type="dxa" w:w="1728"/>
            <w:shd w:val="clear" w:color="auto" w:fill="FFF2CC"/>
          </w:tcPr>
          <w:p>
            <w:r/>
            <w:r>
              <w:rPr>
                <w:b w:val="0"/>
                <w:sz w:val="19"/>
              </w:rPr>
              <w:t>*6</w:t>
            </w:r>
          </w:p>
        </w:tc>
        <w:tc>
          <w:tcPr>
            <w:tcW w:type="dxa" w:w="1728"/>
          </w:tcPr>
          <w:p>
            <w:r/>
            <w:r>
              <w:rPr>
                <w:b w:val="0"/>
                <w:sz w:val="19"/>
              </w:rPr>
              <w:t>Persentase temuan AMI yang berulang (repeat findings) pada siklus berikutnya</w:t>
            </w:r>
          </w:p>
        </w:tc>
        <w:tc>
          <w:tcPr>
            <w:tcW w:type="dxa" w:w="1728"/>
          </w:tcPr>
          <w:p>
            <w:r/>
            <w:r>
              <w:rPr>
                <w:b w:val="0"/>
                <w:sz w:val="19"/>
              </w:rPr>
              <w:t>≤15%</w:t>
            </w:r>
          </w:p>
        </w:tc>
        <w:tc>
          <w:tcPr>
            <w:tcW w:type="dxa" w:w="1728"/>
          </w:tcPr>
          <w:p>
            <w:r/>
            <w:r>
              <w:rPr>
                <w:b w:val="0"/>
                <w:sz w:val="19"/>
              </w:rPr>
              <w:t>≤12%</w:t>
            </w:r>
          </w:p>
        </w:tc>
        <w:tc>
          <w:tcPr>
            <w:tcW w:type="dxa" w:w="1728"/>
          </w:tcPr>
          <w:p>
            <w:r/>
            <w:r>
              <w:rPr>
                <w:b w:val="0"/>
                <w:sz w:val="19"/>
              </w:rPr>
              <w:t>≤10%</w:t>
            </w:r>
          </w:p>
        </w:tc>
      </w:tr>
      <w:tr>
        <w:tc>
          <w:tcPr>
            <w:tcW w:type="dxa" w:w="1728"/>
            <w:shd w:val="clear" w:color="auto" w:fill="FFF2CC"/>
          </w:tcPr>
          <w:p>
            <w:r/>
            <w:r>
              <w:rPr>
                <w:b w:val="0"/>
                <w:sz w:val="19"/>
              </w:rPr>
              <w:t>*7</w:t>
            </w:r>
          </w:p>
        </w:tc>
        <w:tc>
          <w:tcPr>
            <w:tcW w:type="dxa" w:w="1728"/>
          </w:tcPr>
          <w:p>
            <w:r/>
            <w:r>
              <w:rPr>
                <w:b w:val="0"/>
                <w:sz w:val="19"/>
              </w:rPr>
              <w:t>Jumlah standar SPMI turunan yang direvisi/ditingkatkan ambangnya per tahun berdasarkan hasil evaluasi</w:t>
            </w:r>
          </w:p>
        </w:tc>
        <w:tc>
          <w:tcPr>
            <w:tcW w:type="dxa" w:w="1728"/>
          </w:tcPr>
          <w:p>
            <w:r/>
            <w:r>
              <w:rPr>
                <w:b w:val="0"/>
                <w:sz w:val="19"/>
              </w:rPr>
              <w:t>≥1 standar</w:t>
            </w:r>
          </w:p>
        </w:tc>
        <w:tc>
          <w:tcPr>
            <w:tcW w:type="dxa" w:w="1728"/>
          </w:tcPr>
          <w:p>
            <w:r/>
            <w:r>
              <w:rPr>
                <w:b w:val="0"/>
                <w:sz w:val="19"/>
              </w:rPr>
              <w:t>≥1 standar</w:t>
            </w:r>
          </w:p>
        </w:tc>
        <w:tc>
          <w:tcPr>
            <w:tcW w:type="dxa" w:w="1728"/>
          </w:tcPr>
          <w:p>
            <w:r/>
            <w:r>
              <w:rPr>
                <w:b w:val="0"/>
                <w:sz w:val="19"/>
              </w:rPr>
              <w:t>≥1 standar</w:t>
            </w:r>
          </w:p>
        </w:tc>
      </w:tr>
      <w:tr>
        <w:tc>
          <w:tcPr>
            <w:tcW w:type="dxa" w:w="1728"/>
          </w:tcPr>
          <w:p>
            <w:r/>
            <w:r>
              <w:rPr>
                <w:b w:val="0"/>
                <w:sz w:val="19"/>
              </w:rPr>
              <w:t>8</w:t>
            </w:r>
          </w:p>
        </w:tc>
        <w:tc>
          <w:tcPr>
            <w:tcW w:type="dxa" w:w="1728"/>
          </w:tcPr>
          <w:p>
            <w:r/>
            <w:r>
              <w:rPr>
                <w:b w:val="0"/>
                <w:sz w:val="19"/>
              </w:rPr>
              <w:t>Persentase program studi aktif yang terakreditasi (LAM INFOKOM/BAN-PT)</w:t>
            </w:r>
          </w:p>
        </w:tc>
        <w:tc>
          <w:tcPr>
            <w:tcW w:type="dxa" w:w="1728"/>
          </w:tcPr>
          <w:p>
            <w:r/>
            <w:r>
              <w:rPr>
                <w:b w:val="0"/>
                <w:sz w:val="19"/>
              </w:rPr>
              <w:t>100%</w:t>
            </w:r>
          </w:p>
        </w:tc>
        <w:tc>
          <w:tcPr>
            <w:tcW w:type="dxa" w:w="1728"/>
          </w:tcPr>
          <w:p>
            <w:r/>
            <w:r>
              <w:rPr>
                <w:b w:val="0"/>
                <w:sz w:val="19"/>
              </w:rPr>
              <w:t>100%</w:t>
            </w:r>
          </w:p>
        </w:tc>
        <w:tc>
          <w:tcPr>
            <w:tcW w:type="dxa" w:w="1728"/>
          </w:tcPr>
          <w:p>
            <w:r/>
            <w:r>
              <w:rPr>
                <w:b w:val="0"/>
                <w:sz w:val="19"/>
              </w:rPr>
              <w:t>100%</w:t>
            </w:r>
          </w:p>
        </w:tc>
      </w:tr>
      <w:tr>
        <w:tc>
          <w:tcPr>
            <w:tcW w:type="dxa" w:w="1728"/>
            <w:shd w:val="clear" w:color="auto" w:fill="FFF2CC"/>
          </w:tcPr>
          <w:p>
            <w:r/>
            <w:r>
              <w:rPr>
                <w:b w:val="0"/>
                <w:sz w:val="19"/>
              </w:rPr>
              <w:t>*9</w:t>
            </w:r>
          </w:p>
        </w:tc>
        <w:tc>
          <w:tcPr>
            <w:tcW w:type="dxa" w:w="1728"/>
          </w:tcPr>
          <w:p>
            <w:r/>
            <w:r>
              <w:rPr>
                <w:b w:val="0"/>
                <w:sz w:val="19"/>
              </w:rPr>
              <w:t>Pengakuan mutu eksternal di luar akreditasi prodi (audit eksternal/sertifikasi ISO 9001 atau setara)</w:t>
            </w:r>
          </w:p>
        </w:tc>
        <w:tc>
          <w:tcPr>
            <w:tcW w:type="dxa" w:w="1728"/>
          </w:tcPr>
          <w:p>
            <w:r/>
            <w:r>
              <w:rPr>
                <w:b w:val="0"/>
                <w:sz w:val="19"/>
              </w:rPr>
              <w:t>Persiapan</w:t>
            </w:r>
          </w:p>
        </w:tc>
        <w:tc>
          <w:tcPr>
            <w:tcW w:type="dxa" w:w="1728"/>
          </w:tcPr>
          <w:p>
            <w:r/>
            <w:r>
              <w:rPr>
                <w:b w:val="0"/>
                <w:sz w:val="19"/>
              </w:rPr>
              <w:t>1 kali diperoleh</w:t>
            </w:r>
          </w:p>
        </w:tc>
        <w:tc>
          <w:tcPr>
            <w:tcW w:type="dxa" w:w="1728"/>
          </w:tcPr>
          <w:p>
            <w:r/>
            <w:r>
              <w:rPr>
                <w:b w:val="0"/>
                <w:sz w:val="19"/>
              </w:rPr>
              <w:t>Dipertahankan</w:t>
            </w:r>
          </w:p>
        </w:tc>
      </w:tr>
      <w:tr>
        <w:tc>
          <w:tcPr>
            <w:tcW w:type="dxa" w:w="1728"/>
            <w:shd w:val="clear" w:color="auto" w:fill="FFF2CC"/>
          </w:tcPr>
          <w:p>
            <w:r/>
            <w:r>
              <w:rPr>
                <w:b w:val="0"/>
                <w:sz w:val="19"/>
              </w:rPr>
              <w:t>*10</w:t>
            </w:r>
          </w:p>
        </w:tc>
        <w:tc>
          <w:tcPr>
            <w:tcW w:type="dxa" w:w="1728"/>
          </w:tcPr>
          <w:p>
            <w:r/>
            <w:r>
              <w:rPr>
                <w:b w:val="0"/>
                <w:sz w:val="19"/>
              </w:rPr>
              <w:t>Tingkat kepuasan pemangku kepentingan terhadap layanan manajemen (hasil survei tahunan)</w:t>
            </w:r>
          </w:p>
        </w:tc>
        <w:tc>
          <w:tcPr>
            <w:tcW w:type="dxa" w:w="1728"/>
          </w:tcPr>
          <w:p>
            <w:r/>
            <w:r>
              <w:rPr>
                <w:b w:val="0"/>
                <w:sz w:val="19"/>
              </w:rPr>
              <w:t>≥80%</w:t>
            </w:r>
          </w:p>
        </w:tc>
        <w:tc>
          <w:tcPr>
            <w:tcW w:type="dxa" w:w="1728"/>
          </w:tcPr>
          <w:p>
            <w:r/>
            <w:r>
              <w:rPr>
                <w:b w:val="0"/>
                <w:sz w:val="19"/>
              </w:rPr>
              <w:t>≥85%</w:t>
            </w:r>
          </w:p>
        </w:tc>
        <w:tc>
          <w:tcPr>
            <w:tcW w:type="dxa" w:w="1728"/>
          </w:tcPr>
          <w:p>
            <w:r/>
            <w:r>
              <w:rPr>
                <w:b w:val="0"/>
                <w:sz w:val="19"/>
              </w:rPr>
              <w:t>≥90%</w:t>
            </w:r>
          </w:p>
        </w:tc>
      </w:tr>
      <w:tr>
        <w:tc>
          <w:tcPr>
            <w:tcW w:type="dxa" w:w="1728"/>
          </w:tcPr>
          <w:p>
            <w:r/>
            <w:r>
              <w:rPr>
                <w:b w:val="0"/>
                <w:sz w:val="19"/>
              </w:rPr>
              <w:t>11</w:t>
            </w:r>
          </w:p>
        </w:tc>
        <w:tc>
          <w:tcPr>
            <w:tcW w:type="dxa" w:w="1728"/>
          </w:tcPr>
          <w:p>
            <w:r/>
            <w:r>
              <w:rPr>
                <w:b w:val="0"/>
                <w:sz w:val="19"/>
              </w:rPr>
              <w:t>Ketersediaan Laporan RTM dan Laporan Tindak Lanjut</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r>
        <w:tc>
          <w:tcPr>
            <w:tcW w:type="dxa" w:w="1728"/>
          </w:tcPr>
          <w:p>
            <w:r/>
            <w:r>
              <w:rPr>
                <w:b w:val="0"/>
                <w:sz w:val="19"/>
              </w:rPr>
              <w:t>12</w:t>
            </w:r>
          </w:p>
        </w:tc>
        <w:tc>
          <w:tcPr>
            <w:tcW w:type="dxa" w:w="1728"/>
          </w:tcPr>
          <w:p>
            <w:r/>
            <w:r>
              <w:rPr>
                <w:b w:val="0"/>
                <w:sz w:val="19"/>
              </w:rPr>
              <w:t>Terlaksananya sosialisasi dokumen mutu dan FGD penguatan budaya mutu</w:t>
            </w:r>
          </w:p>
        </w:tc>
        <w:tc>
          <w:tcPr>
            <w:tcW w:type="dxa" w:w="1728"/>
          </w:tcPr>
          <w:p>
            <w:r/>
            <w:r>
              <w:rPr>
                <w:b w:val="0"/>
                <w:sz w:val="19"/>
              </w:rPr>
              <w:t>Terlaksana</w:t>
            </w:r>
          </w:p>
        </w:tc>
        <w:tc>
          <w:tcPr>
            <w:tcW w:type="dxa" w:w="1728"/>
          </w:tcPr>
          <w:p>
            <w:r/>
            <w:r>
              <w:rPr>
                <w:b w:val="0"/>
                <w:sz w:val="19"/>
              </w:rPr>
              <w:t>Terlaksana</w:t>
            </w:r>
          </w:p>
        </w:tc>
        <w:tc>
          <w:tcPr>
            <w:tcW w:type="dxa" w:w="1728"/>
          </w:tcPr>
          <w:p>
            <w:r/>
            <w:r>
              <w:rPr>
                <w:b w:val="0"/>
                <w:sz w:val="19"/>
              </w:rPr>
              <w:t>Terlaksana</w:t>
            </w:r>
          </w:p>
        </w:tc>
      </w:tr>
      <w:tr>
        <w:tc>
          <w:tcPr>
            <w:tcW w:type="dxa" w:w="1728"/>
          </w:tcPr>
          <w:p>
            <w:r/>
            <w:r>
              <w:rPr>
                <w:b w:val="0"/>
                <w:sz w:val="19"/>
              </w:rPr>
              <w:t>13</w:t>
            </w:r>
          </w:p>
        </w:tc>
        <w:tc>
          <w:tcPr>
            <w:tcW w:type="dxa" w:w="1728"/>
          </w:tcPr>
          <w:p>
            <w:r/>
            <w:r>
              <w:rPr>
                <w:b w:val="0"/>
                <w:sz w:val="19"/>
              </w:rPr>
              <w:t>Ketersediaan SDM kompeten sebagai pelaksana penjaminan mutu (auditor bersertifikat)</w:t>
            </w:r>
          </w:p>
        </w:tc>
        <w:tc>
          <w:tcPr>
            <w:tcW w:type="dxa" w:w="1728"/>
          </w:tcPr>
          <w:p>
            <w:r/>
            <w:r>
              <w:rPr>
                <w:b w:val="0"/>
                <w:sz w:val="19"/>
              </w:rPr>
              <w:t>Tersedia</w:t>
            </w:r>
          </w:p>
        </w:tc>
        <w:tc>
          <w:tcPr>
            <w:tcW w:type="dxa" w:w="1728"/>
          </w:tcPr>
          <w:p>
            <w:r/>
            <w:r>
              <w:rPr>
                <w:b w:val="0"/>
                <w:sz w:val="19"/>
              </w:rPr>
              <w:t>Tersedia</w:t>
            </w:r>
          </w:p>
        </w:tc>
        <w:tc>
          <w:tcPr>
            <w:tcW w:type="dxa" w:w="1728"/>
          </w:tcPr>
          <w:p>
            <w:r/>
            <w:r>
              <w:rPr>
                <w:b w:val="0"/>
                <w:sz w:val="19"/>
              </w:rPr>
              <w:t>Tersedia</w:t>
            </w:r>
          </w:p>
        </w:tc>
      </w:tr>
    </w:tbl>
    <w:p/>
    <w:p>
      <w:pPr>
        <w:spacing w:after="120"/>
      </w:pPr>
      <w:r>
        <w:rPr>
          <w:b/>
          <w:i w:val="0"/>
        </w:rPr>
        <w:t>Indikator Kinerja Tambahan (IKT):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D9D9"/>
          </w:tcPr>
          <w:p>
            <w:r/>
            <w:r>
              <w:rPr>
                <w:b/>
                <w:sz w:val="19"/>
              </w:rPr>
              <w:t>No</w:t>
            </w:r>
          </w:p>
        </w:tc>
        <w:tc>
          <w:tcPr>
            <w:tcW w:type="dxa" w:w="1728"/>
            <w:shd w:val="clear" w:color="auto" w:fill="D9D9D9"/>
          </w:tcPr>
          <w:p>
            <w:r/>
            <w:r>
              <w:rPr>
                <w:b/>
                <w:sz w:val="19"/>
              </w:rPr>
              <w:t>Indikator Kinerja Tambahan (IKT)</w:t>
            </w:r>
          </w:p>
        </w:tc>
        <w:tc>
          <w:tcPr>
            <w:tcW w:type="dxa" w:w="1728"/>
            <w:shd w:val="clear" w:color="auto" w:fill="D9D9D9"/>
          </w:tcPr>
          <w:p>
            <w:r/>
            <w:r>
              <w:rPr>
                <w:sz w:val="19"/>
              </w:rPr>
              <w:t>2024/2025</w:t>
            </w:r>
          </w:p>
        </w:tc>
        <w:tc>
          <w:tcPr>
            <w:tcW w:type="dxa" w:w="1728"/>
            <w:shd w:val="clear" w:color="auto" w:fill="D9D9D9"/>
          </w:tcPr>
          <w:p>
            <w:r/>
            <w:r>
              <w:rPr>
                <w:sz w:val="19"/>
              </w:rPr>
              <w:t>2025/2026</w:t>
            </w:r>
          </w:p>
        </w:tc>
        <w:tc>
          <w:tcPr>
            <w:tcW w:type="dxa" w:w="1728"/>
            <w:shd w:val="clear" w:color="auto" w:fill="D9D9D9"/>
          </w:tcPr>
          <w:p>
            <w:r/>
            <w:r>
              <w:rPr>
                <w:sz w:val="19"/>
              </w:rPr>
              <w:t>2026/2027</w:t>
            </w:r>
          </w:p>
        </w:tc>
      </w:tr>
      <w:tr>
        <w:tc>
          <w:tcPr>
            <w:tcW w:type="dxa" w:w="1728"/>
            <w:shd w:val="clear" w:color="auto" w:fill="FFF2CC"/>
          </w:tcPr>
          <w:p>
            <w:r/>
            <w:r>
              <w:rPr>
                <w:b w:val="0"/>
                <w:sz w:val="19"/>
              </w:rPr>
              <w:t>*1</w:t>
            </w:r>
          </w:p>
        </w:tc>
        <w:tc>
          <w:tcPr>
            <w:tcW w:type="dxa" w:w="1728"/>
          </w:tcPr>
          <w:p>
            <w:r/>
            <w:r>
              <w:rPr>
                <w:b w:val="0"/>
                <w:sz w:val="19"/>
              </w:rPr>
              <w:t>Jumlah kegiatan benchmarking SPMI dengan perguruan tinggi nasional/internasional per tahun (daya saing internasional)</w:t>
            </w:r>
          </w:p>
        </w:tc>
        <w:tc>
          <w:tcPr>
            <w:tcW w:type="dxa" w:w="1728"/>
          </w:tcPr>
          <w:p>
            <w:r/>
            <w:r>
              <w:rPr>
                <w:b w:val="0"/>
                <w:sz w:val="19"/>
              </w:rPr>
              <w:t>≥1 nasional</w:t>
            </w:r>
          </w:p>
        </w:tc>
        <w:tc>
          <w:tcPr>
            <w:tcW w:type="dxa" w:w="1728"/>
          </w:tcPr>
          <w:p>
            <w:r/>
            <w:r>
              <w:rPr>
                <w:b w:val="0"/>
                <w:sz w:val="19"/>
              </w:rPr>
              <w:t>≥1 nasional &amp; 1 internasional</w:t>
            </w:r>
          </w:p>
        </w:tc>
        <w:tc>
          <w:tcPr>
            <w:tcW w:type="dxa" w:w="1728"/>
          </w:tcPr>
          <w:p>
            <w:r/>
            <w:r>
              <w:rPr>
                <w:b w:val="0"/>
                <w:sz w:val="19"/>
              </w:rPr>
              <w:t>≥1 nasional &amp; 1 internasional</w:t>
            </w:r>
          </w:p>
        </w:tc>
      </w:tr>
      <w:tr>
        <w:tc>
          <w:tcPr>
            <w:tcW w:type="dxa" w:w="1728"/>
            <w:shd w:val="clear" w:color="auto" w:fill="FFF2CC"/>
          </w:tcPr>
          <w:p>
            <w:r/>
            <w:r>
              <w:rPr>
                <w:b w:val="0"/>
                <w:sz w:val="19"/>
              </w:rPr>
              <w:t>*2</w:t>
            </w:r>
          </w:p>
        </w:tc>
        <w:tc>
          <w:tcPr>
            <w:tcW w:type="dxa" w:w="1728"/>
          </w:tcPr>
          <w:p>
            <w:r/>
            <w:r>
              <w:rPr>
                <w:b w:val="0"/>
                <w:sz w:val="19"/>
              </w:rPr>
              <w:t>Partisipasi DJM/UJM/GKM dalam forum/asosiasi penjaminan mutu nasional atau internasional</w:t>
            </w:r>
          </w:p>
        </w:tc>
        <w:tc>
          <w:tcPr>
            <w:tcW w:type="dxa" w:w="1728"/>
          </w:tcPr>
          <w:p>
            <w:r/>
            <w:r>
              <w:rPr>
                <w:b w:val="0"/>
                <w:sz w:val="19"/>
              </w:rPr>
              <w:t>≥1 forum/tahun</w:t>
            </w:r>
          </w:p>
        </w:tc>
        <w:tc>
          <w:tcPr>
            <w:tcW w:type="dxa" w:w="1728"/>
          </w:tcPr>
          <w:p>
            <w:r/>
            <w:r>
              <w:rPr>
                <w:b w:val="0"/>
                <w:sz w:val="19"/>
              </w:rPr>
              <w:t>≥1 forum/tahun</w:t>
            </w:r>
          </w:p>
        </w:tc>
        <w:tc>
          <w:tcPr>
            <w:tcW w:type="dxa" w:w="1728"/>
          </w:tcPr>
          <w:p>
            <w:r/>
            <w:r>
              <w:rPr>
                <w:b w:val="0"/>
                <w:sz w:val="19"/>
              </w:rPr>
              <w:t>≥2 forum/tahun</w:t>
            </w:r>
          </w:p>
        </w:tc>
      </w:tr>
      <w:tr>
        <w:tc>
          <w:tcPr>
            <w:tcW w:type="dxa" w:w="1728"/>
            <w:shd w:val="clear" w:color="auto" w:fill="FFF2CC"/>
          </w:tcPr>
          <w:p>
            <w:r/>
            <w:r>
              <w:rPr>
                <w:b w:val="0"/>
                <w:sz w:val="19"/>
              </w:rPr>
              <w:t>*3</w:t>
            </w:r>
          </w:p>
        </w:tc>
        <w:tc>
          <w:tcPr>
            <w:tcW w:type="dxa" w:w="1728"/>
          </w:tcPr>
          <w:p>
            <w:r/>
            <w:r>
              <w:rPr>
                <w:b w:val="0"/>
                <w:sz w:val="19"/>
              </w:rPr>
              <w:t>Dampak terukur peningkatan standar terhadap capaian akreditasi (jumlah prodi naik peringkat/status Unggul)</w:t>
            </w:r>
          </w:p>
        </w:tc>
        <w:tc>
          <w:tcPr>
            <w:tcW w:type="dxa" w:w="1728"/>
          </w:tcPr>
          <w:p>
            <w:r/>
            <w:r>
              <w:rPr>
                <w:b w:val="0"/>
                <w:sz w:val="19"/>
              </w:rPr>
              <w:t>Baseline</w:t>
            </w:r>
          </w:p>
        </w:tc>
        <w:tc>
          <w:tcPr>
            <w:tcW w:type="dxa" w:w="1728"/>
          </w:tcPr>
          <w:p>
            <w:r/>
            <w:r>
              <w:rPr>
                <w:b w:val="0"/>
                <w:sz w:val="19"/>
              </w:rPr>
              <w:t>≥1 prodi</w:t>
            </w:r>
          </w:p>
        </w:tc>
        <w:tc>
          <w:tcPr>
            <w:tcW w:type="dxa" w:w="1728"/>
          </w:tcPr>
          <w:p>
            <w:r/>
            <w:r>
              <w:rPr>
                <w:b w:val="0"/>
                <w:sz w:val="19"/>
              </w:rPr>
              <w:t>≥1 prodi tambahan</w:t>
            </w:r>
          </w:p>
        </w:tc>
      </w:tr>
    </w:tbl>
    <w:p/>
    <w:p>
      <w:pPr>
        <w:spacing w:before="280" w:after="120"/>
      </w:pPr>
      <w:r>
        <w:rPr>
          <w:b/>
          <w:sz w:val="26"/>
        </w:rPr>
        <w:t>5. STRATEGI PENCAPAIAN</w:t>
      </w:r>
    </w:p>
    <w:p>
      <w:pPr>
        <w:pStyle w:val="ListNumber"/>
        <w:spacing w:after="120"/>
      </w:pPr>
      <w:r>
        <w:t>Rektor menetapkan kebijakan SPMI dan perangkatnya, termasuk penetapan formal kewajiban root-cause analysis dan SWOT tahunan sebagai bagian wajib RTM bagi seluruh standar turunan FTII.</w:t>
      </w:r>
    </w:p>
    <w:p>
      <w:pPr>
        <w:pStyle w:val="ListNumber"/>
        <w:spacing w:after="120"/>
      </w:pPr>
      <w:r>
        <w:t>DJM menyusun Pedoman Penerapan Siklus PPEPP yang secara eksplisit memuat template dan prosedur pelaksanaan Analisis Faktor Keberhasilan dan Penghambat serta analisis SWOT tahunan, disosialisasikan kepada seluruh UJM dan GKM.</w:t>
      </w:r>
    </w:p>
    <w:p>
      <w:pPr>
        <w:pStyle w:val="ListNumber"/>
        <w:spacing w:after="120"/>
      </w:pPr>
      <w:r>
        <w:t>DJM menyusun SOP Independensi Auditor Mutu Internal yang mengatur matriks rotasi/penugasan audit untuk menghindari auditor mengaudit unit kerja tempat ia bertugas.</w:t>
      </w:r>
    </w:p>
    <w:p>
      <w:pPr>
        <w:pStyle w:val="ListNumber"/>
        <w:spacing w:after="120"/>
      </w:pPr>
      <w:r>
        <w:t>UJM Fakultas dan GKM Program Studi melaksanakan root-cause analysis dan SWOT setiap akhir tahun akademik terhadap seluruh standar SPMI turunan, dituangkan dalam dokumen tersendiri yang menjadi bahan RTM.</w:t>
      </w:r>
    </w:p>
    <w:p>
      <w:pPr>
        <w:pStyle w:val="ListNumber"/>
        <w:spacing w:after="120"/>
      </w:pPr>
      <w:r>
        <w:t>DJM mengembangkan sistem pemantauan temuan AMI berulang (repeat findings tracker) sebagai dasar pengukuran efektivitas penjaminan mutu, dievaluasi setiap siklus AMI.</w:t>
      </w:r>
    </w:p>
    <w:p>
      <w:pPr>
        <w:pStyle w:val="ListNumber"/>
        <w:spacing w:after="120"/>
      </w:pPr>
      <w:r>
        <w:t>DJM bersama Dekan FTII menetapkan target minimal 1 standar turunan yang direvisi/ditingkatkan setiap tahun berdasarkan hasil evaluasi, sebagai bukti peningkatan standar yang terukur.</w:t>
      </w:r>
    </w:p>
    <w:p>
      <w:pPr>
        <w:pStyle w:val="ListNumber"/>
        <w:spacing w:after="120"/>
      </w:pPr>
      <w:r>
        <w:t>DJM menjajaki dan memfasilitasi perolehan sertifikasi sistem manajemen mutu (ISO 9001 atau setara) dan/atau audit eksternal independen sebagai pelengkap akreditasi program studi.</w:t>
      </w:r>
    </w:p>
    <w:p>
      <w:pPr>
        <w:pStyle w:val="ListNumber"/>
        <w:spacing w:after="120"/>
      </w:pPr>
      <w:r>
        <w:t>DJM menyusun kerangka Indikator Kinerja Tambahan (IKT) SPMI berdimensi daya saing internasional, termasuk program benchmarking SPMI dengan perguruan tinggi mitra nasional dan internasional.</w:t>
      </w:r>
    </w:p>
    <w:p>
      <w:pPr>
        <w:pStyle w:val="ListNumber"/>
        <w:spacing w:after="120"/>
      </w:pPr>
      <w:r>
        <w:t>DJM bersama Unit Pengembangan Karier dan Alumni menyusun dan melaksanakan instrumen survei kepuasan pemangku kepentingan terhadap layanan manajemen setiap tahun, hasilnya dianalisis dan ditindaklanjuti melalui RTM.</w:t>
      </w:r>
    </w:p>
    <w:p>
      <w:pPr>
        <w:pStyle w:val="ListNumber"/>
        <w:spacing w:after="120"/>
      </w:pPr>
      <w:r>
        <w:t>FTII melaksanakan AMI akademik dan DJM melaksanakan AMI non-akademik/tata pamong/keuangan secara terjadwal, dengan pemantauan RTL yang ketat untuk mencapai target tindak lanjut tepat waktu.</w:t>
      </w:r>
    </w:p>
    <w:p>
      <w:pPr>
        <w:pStyle w:val="ListNumber"/>
        <w:spacing w:after="120"/>
      </w:pPr>
      <w:r>
        <w:t>DJM menyelenggarakan sosialisasi dokumen mutu, FGD, dan pelatihan root-cause analysis/SWOT bagi seluruh UJM dan GKM guna memastikan kapasitas pelaksanaan mekanisme baru ini merata di seluruh unit kerja.</w:t>
      </w:r>
    </w:p>
    <w:p>
      <w:pPr>
        <w:spacing w:before="280" w:after="120"/>
      </w:pPr>
      <w:r>
        <w:rPr>
          <w:b/>
          <w:sz w:val="26"/>
        </w:rPr>
        <w:t>6. MEKANISME EVALUASI</w:t>
      </w:r>
    </w:p>
    <w:p>
      <w:pPr>
        <w:pStyle w:val="ListNumber"/>
        <w:spacing w:after="120"/>
      </w:pPr>
      <w:r>
        <w:t>Root-cause analysis dan SWOT tahunan dilaksanakan oleh UJM Fakultas bersama GKM Program Studi paling sedikit 1 kali setiap akhir tahun akademik atas seluruh standar SPMI turunan, hasilnya menjadi bahan wajib RTM.</w:t>
      </w:r>
    </w:p>
    <w:p>
      <w:pPr>
        <w:pStyle w:val="ListNumber"/>
        <w:spacing w:after="120"/>
      </w:pPr>
      <w:r>
        <w:t>Independensi auditor diverifikasi oleh DJM sebelum setiap pelaksanaan AMI melalui pengecekan matriks penugasan dan surat pernyataan independensi auditor.</w:t>
      </w:r>
    </w:p>
    <w:p>
      <w:pPr>
        <w:pStyle w:val="ListNumber"/>
        <w:spacing w:after="120"/>
      </w:pPr>
      <w:r>
        <w:t>Efektivitas pelaksanaan penjaminan mutu dievaluasi oleh DJM melalui pemantauan tren temuan AMI berulang setiap siklus audit, dilaporkan dalam RTM.</w:t>
      </w:r>
    </w:p>
    <w:p>
      <w:pPr>
        <w:pStyle w:val="ListNumber"/>
        <w:spacing w:after="120"/>
      </w:pPr>
      <w:r>
        <w:t>Bukti peningkatan standar dievaluasi oleh DJM setiap tahun melalui rekapitulasi jumlah dan substansi standar turunan yang direvisi berdasarkan hasil evaluasi.</w:t>
      </w:r>
    </w:p>
    <w:p>
      <w:pPr>
        <w:pStyle w:val="ListNumber"/>
        <w:spacing w:after="120"/>
      </w:pPr>
      <w:r>
        <w:t>Survei kepuasan pemangku kepentingan dievaluasi oleh DJM setiap tahun, hasilnya dibandingkan terhadap ambang target dan ditindaklanjuti melalui RTM.</w:t>
      </w:r>
    </w:p>
    <w:p>
      <w:pPr>
        <w:pStyle w:val="ListNumber"/>
        <w:spacing w:after="120"/>
      </w:pPr>
      <w:r>
        <w:t>Audit Mutu Internal (AMI) dilaksanakan oleh auditor independen yang ditugaskan DJM paling sedikit 1 kali per tahun, mencakup akademik, non-akademik, tata pamong, dan keuangan.</w:t>
      </w:r>
    </w:p>
    <w:p>
      <w:pPr>
        <w:pStyle w:val="ListNumber"/>
        <w:spacing w:after="120"/>
      </w:pPr>
      <w:r>
        <w:t>Rapat Tinjauan Manajemen (RTM) diselenggarakan setelah setiap siklus AMI, WAJIB membahas hasil root-cause analysis, SWOT, temuan AMI berulang, dan capaian survei kepuasan pemangku kepentingan, serta menetapkan Rencana Tindak Lanjut (RTL).</w:t>
      </w:r>
    </w:p>
    <w:p>
      <w:pPr>
        <w:pStyle w:val="ListNumber"/>
        <w:spacing w:after="120"/>
      </w:pPr>
      <w:r>
        <w:t>Peninjauan menyeluruh terhadap Standar Penjaminan Mutu Internal dilakukan paling sedikit 1 kali setiap siklus Renstra (4-5 tahun), atau lebih cepat apabila terdapat perubahan signifikan pada kriteria LAM Teknik/LAM INFOKOM atau kebijakan Permendikbudristek.</w:t>
      </w:r>
    </w:p>
    <w:p>
      <w:pPr>
        <w:spacing w:before="280" w:after="120"/>
      </w:pPr>
      <w:r>
        <w:rPr>
          <w:b/>
          <w:sz w:val="26"/>
        </w:rPr>
        <w:t>7. DOKUMEN / BUKTI PENDUKUNG</w:t>
      </w:r>
    </w:p>
    <w:p>
      <w:pPr>
        <w:pStyle w:val="ListNumber"/>
        <w:spacing w:after="120"/>
      </w:pPr>
      <w:r>
        <w:t>Kebijakan SPMI, Pedoman Penerapan Siklus PPEPP, Standar SPMI, dan SOP Universitas Stikubank (UNISBANK) Semarang.</w:t>
      </w:r>
    </w:p>
    <w:p>
      <w:pPr>
        <w:pStyle w:val="ListNumber"/>
        <w:spacing w:after="120"/>
      </w:pPr>
      <w:r>
        <w:t>SOP Independensi Auditor Mutu Internal beserta matriks penugasan audit dan surat pernyataan independensi.</w:t>
      </w:r>
    </w:p>
    <w:p>
      <w:pPr>
        <w:pStyle w:val="ListNumber"/>
        <w:spacing w:after="120"/>
      </w:pPr>
      <w:r>
        <w:t>Dokumen dan template Analisis Faktor Keberhasilan dan Penghambat (root-cause analysis) tahunan untuk seluruh standar SPMI turunan.</w:t>
      </w:r>
    </w:p>
    <w:p>
      <w:pPr>
        <w:pStyle w:val="ListNumber"/>
        <w:spacing w:after="120"/>
      </w:pPr>
      <w:r>
        <w:t>Dokumen analisis SWOT tahunan untuk seluruh standar SPMI turunan.</w:t>
      </w:r>
    </w:p>
    <w:p>
      <w:pPr>
        <w:pStyle w:val="ListNumber"/>
        <w:spacing w:after="120"/>
      </w:pPr>
      <w:r>
        <w:t>Laporan Audit Mutu Internal (Akademik, Non-Akademik, Tata Pamong, Keuangan) beserta rekapitulasi tren temuan berulang antar-siklus.</w:t>
      </w:r>
    </w:p>
    <w:p>
      <w:pPr>
        <w:pStyle w:val="ListNumber"/>
        <w:spacing w:after="120"/>
      </w:pPr>
      <w:r>
        <w:t>Dokumen bukti peningkatan standar (daftar standar yang direvisi per tahun beserta berita acara perubahan).</w:t>
      </w:r>
    </w:p>
    <w:p>
      <w:pPr>
        <w:pStyle w:val="ListNumber"/>
        <w:spacing w:after="120"/>
      </w:pPr>
      <w:r>
        <w:t>Dokumen/sertifikat pengakuan mutu eksternal di luar akreditasi program studi (audit eksternal/ISO 9001 atau setara).</w:t>
      </w:r>
    </w:p>
    <w:p>
      <w:pPr>
        <w:pStyle w:val="ListNumber"/>
        <w:spacing w:after="120"/>
      </w:pPr>
      <w:r>
        <w:t>Dokumen Indikator Kinerja Tambahan (IKT) SPMI beserta bukti kegiatan benchmarking dan partisipasi forum mutu nasional/internasional.</w:t>
      </w:r>
    </w:p>
    <w:p>
      <w:pPr>
        <w:pStyle w:val="ListNumber"/>
        <w:spacing w:after="120"/>
      </w:pPr>
      <w:r>
        <w:t>Instrumen dan hasil survei kepuasan pemangku kepentingan terhadap layanan manajemen, beserta data mentah responden dan laporan analisis.</w:t>
      </w:r>
    </w:p>
    <w:p>
      <w:pPr>
        <w:pStyle w:val="ListNumber"/>
        <w:spacing w:after="120"/>
      </w:pPr>
      <w:r>
        <w:t>Laporan Monitoring dan Evaluasi (Monev) Tridharma dan fungsi manajemen tingkat universitas maupun fakultas.</w:t>
      </w:r>
    </w:p>
    <w:p>
      <w:pPr>
        <w:pStyle w:val="ListNumber"/>
        <w:spacing w:after="120"/>
      </w:pPr>
      <w:r>
        <w:t>Dokumen Rapat Tinjauan Manajemen (RTM) yang memuat pembahasan root-cause analysis, SWOT, temuan AMI berulang, dan kepuasan pemangku kepentingan, beserta Rencana Tindak Lanjut (RTL).</w:t>
      </w:r>
    </w:p>
    <w:p>
      <w:pPr>
        <w:pStyle w:val="ListNumber"/>
        <w:spacing w:after="120"/>
      </w:pPr>
      <w:r>
        <w:t>Laporan tahunan implementasi SPMI tingkat universitas dan fakultas.</w:t>
      </w:r>
    </w:p>
    <w:p>
      <w:pPr>
        <w:pStyle w:val="ListNumber"/>
        <w:spacing w:after="120"/>
      </w:pPr>
      <w:r>
        <w:t>Sertifikat kompetensi/independensi auditor mutu internal.</w:t>
      </w:r>
    </w:p>
    <w:p>
      <w:pPr>
        <w:pStyle w:val="ListNumber"/>
        <w:spacing w:after="120"/>
      </w:pPr>
      <w:r>
        <w:t>Instrumen Akreditasi Program Studi LAM INFOKOM dan Kriteria C.7 Pedoman LEDPS LAM Teknik 2025 sebagai acuan kalibrasi indikator.</w:t>
      </w:r>
    </w:p>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