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PROSES PENDIDIKAN</w:t>
      </w:r>
    </w:p>
    <w:p>
      <w:pPr>
        <w:jc w:val="center"/>
      </w:pPr>
      <w:r>
        <w:rPr>
          <w:b/>
          <w:sz w:val="26"/>
        </w:rPr>
        <w:t>PROGRAM STUDI SISTEM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Proses Pendidikan Program Studi Sistem Informasi UNISBANK. Revisi pertama disusun berdasarkan hasil pemetaan terhadap 5 dokumen rujukan (Panduan SPMI Program Sarjana/R1, Matriks Penilaian LAM Teknik APS-AV 2025 1.0, Standar Terakreditasi Unggul LAM INFOKOM, SPMI Fakultas Ilmu Komputer R4 Veteran Jawa Timur, dan seri Buku Standar SPMI R5), didokumentasikan pada standarprosespendidikan.docx, serta diverifikasi sesuai Instrumen Akreditasi Program Studi 2.1 LAM INFOKOM (Peraturan Nomor 11/PERLAM/MA/LAM-INFOKOM/X/2025). Revisi ke-2 ini merestrukturisasi dokumen mengikuti pola 3 sub-standar sesuai Permendikbudristek Nomor 53 Tahun 2023 pasal 40-45 (Standar Proses Pendidikan mencakup Standar Proses Pembelajaran, Standar Penilaian Pembelajaran, dan Standar Pengelolaan Pembelajaran), konsisten dengan pola restrukturisasi yang sudah diterapkan pada Standar Masukan Pendidikan Program Studi Sistem Informasi (standarmasukanpendidikanunggul.docx). Seluruh ambang indikator kuantitatif dan kolom tahun target (2024/2025-2026/2027) DIPERTAHANKAN dari versi sebelumnya — restrukturisasi ini murni reorganisasi struktur dan penambahan Daftar Istilah per sub-standar, bukan perubahan substansi.</w:t>
      </w:r>
    </w:p>
    <w:p>
      <w:pPr/>
    </w:p>
    <w:p>
      <w:pPr>
        <w:spacing w:before="320" w:after="120"/>
      </w:pPr>
      <w:r>
        <w:rPr>
          <w:b/>
          <w:sz w:val="28"/>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(3) melaksanakan pengabdian kepada masyarakat yang bermanfaat; (4) mengembangkan kerja sama pendidikan, penelitian, dan pengabdian pada tingkat lokal, nasional, dan internasional; serta (5) membentuk lulusan berkarakter mandiri, beretika, dan berjiwa wirausaha.</w:t>
      </w:r>
    </w:p>
    <w:p>
      <w:pPr>
        <w:spacing w:after="120"/>
      </w:pPr>
      <w:r>
        <w:rPr>
          <w:b w:val="0"/>
          <w:i w:val="0"/>
        </w:rPr>
        <w:t>Tujuan FTII mencakup terwujudnya organisasi yang transparan dan akuntabel berbasis TIK, lulusan yang kompeten di bidang ilmu komputer-informatika-industri dan berjiwa wirausaha, SDM yang mampu meneliti dan mengabdi kepada masyarakat, serta terbentuknya jaringan kerja sama yang saling menguntungkan.</w:t>
      </w:r>
    </w:p>
    <w:p>
      <w:pPr>
        <w:spacing w:before="320" w:after="120"/>
      </w:pPr>
      <w:r>
        <w:rPr>
          <w:b/>
          <w:sz w:val="28"/>
        </w:rPr>
        <w:t>2. RASIONAL</w:t>
      </w:r>
    </w:p>
    <w:p>
      <w:pPr>
        <w:spacing w:after="120"/>
      </w:pPr>
      <w:r>
        <w:rPr>
          <w:b w:val="0"/>
          <w:i w:val="0"/>
        </w:rPr>
        <w:t>Standar Proses Pendidikan disusun mengacu pada Peraturan Menteri Pendidikan, Kebudayaan, Riset, dan Teknologi Nomor 53 Tahun 2023 pasal 40-45, sebagai perwujudan pencapaian Visi FTII 2035 dengan memastikan proses pembelajaran dilaksanakan secara sistematis, terencana, terdokumentasi, terukur, dan berorientasi pada pencapaian Capaian Pembelajaran Lulusan (CPL) melalui penerapan kurikulum berbasis Outcome-Based Education (OBE).</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LAM Teknik (APS-AV 2025 1.0) maupun Panduan SPMI Program Sarjana (R1), serta deskriptor tertinggi Kriteria 2 (Relevansi Pendidikan) LAM INFOKOM untuk status Terakreditasi Unggul, termasuk Instrumen Akreditasi Program Studi 2.1 LAM INFOKOM terbaru. Verifikasi terhadap Instrumen 2.1 menemukan bahwa kriteria Relevansi Pendidikan (sub-butir Fleksibilitas Proses Pembelajaran) memakai rubrik kualitatif tanpa ambang angka eksplisit, sehingga seluruh ambang kuantitatif FTII pada dokumen ini berfungsi sebagai bukti sahih pemenuhan rubrik kualitatif tersebut.</w:t>
      </w:r>
    </w:p>
    <w:p>
      <w:pPr>
        <w:spacing w:after="120"/>
      </w:pPr>
      <w:r>
        <w:rPr>
          <w:b w:val="0"/>
          <w:i w:val="0"/>
        </w:rPr>
        <w:t>Penyusunan standar ini juga didasarkan pada hasil analisis kesenjangan (gap analysis) terhadap draft Standar Proses Pendidikan Program Studi Sistem Informasi sebelumnya, yang mengidentifikasi area yang memerlukan penambahan ambang kuantitatif (kelengkapan dan siklus tinjauan RPS, Persentase Jam Pembelajaran Praktik/PJP, checklist dan monev MBKM, ambang kuantitatif RPL, kelengkapan dokumentasi penilaian, tenggat pengumuman nilai, frekuensi kegiatan dan ambang kepuasan suasana akademik) serta penyelarasan angka target Kelulusan Tepat Waktu dengan Standar Luaran Pendidikan, agar seluruh indikator proses pendidikan setara dengan praktik terbaik pada program studi yang telah meraih akreditasi Unggul.</w:t>
      </w:r>
    </w:p>
    <w:p>
      <w:pPr>
        <w:spacing w:before="200" w:after="80"/>
      </w:pPr>
      <w:r>
        <w:rPr>
          <w:b/>
          <w:sz w:val="25"/>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Sistem Informasi wajib melaksanakan Analisis Faktor Keberhasilan dan Penghambat (root-cause analysis) serta analisis SWOT atas ketercapaian seluruh sub-standar Proses Pendidikan (Proses Pembelajaran, Penilaian Pembelajaran, Pengelolaan Pembelajaran)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spacing w:after="120"/>
      </w:pPr>
      <w:r>
        <w:rPr>
          <w:b w:val="0"/>
          <w:i w:val="0"/>
        </w:rPr>
        <w:t>Melalui penerapan Standar Proses Pendidikan versi Unggul yang telah direstrukturisasi ini, Program Studi Sistem Informasi FTII UNISBANK diharapkan memiliki proses pendidikan yang setara dengan program studi berakreditasi Unggul, sekaligus berfungsi ganda sebagai instrumen penjaminan mutu internal (SPMI) dan instrumen kesiapan akreditasi eksternal LAM Teknik dan LAM INFOKOM.</w:t>
      </w:r>
    </w:p>
    <w:p>
      <w:pPr>
        <w:spacing w:before="320" w:after="120"/>
      </w:pPr>
      <w:r>
        <w:rPr>
          <w:b/>
          <w:sz w:val="28"/>
        </w:rPr>
        <w:t>STANDAR PROSES PEMBELAJARAN</w:t>
      </w:r>
    </w:p>
    <w:p>
      <w:pPr>
        <w:spacing w:before="200" w:after="80"/>
      </w:pPr>
      <w:r>
        <w:rPr>
          <w:b/>
          <w:sz w:val="25"/>
        </w:rPr>
        <w:t>1. Daftar Istilah</w:t>
      </w:r>
    </w:p>
    <w:p>
      <w:pPr>
        <w:pStyle w:val="ListBullet"/>
        <w:spacing w:after="80"/>
      </w:pPr>
      <w:r>
        <w:rPr/>
        <w:t>Outcome-Based Education (OBE) adalah pendekatan pendidikan yang berorientasi pada pencapaian capaian pembelajaran (outcome) yang telah ditetapkan, menjadi dasar perancangan kurikulum, proses pembelajaran, dan asesmen program studi.</w:t>
      </w:r>
    </w:p>
    <w:p>
      <w:pPr>
        <w:pStyle w:val="ListBullet"/>
        <w:spacing w:after="80"/>
      </w:pPr>
      <w:r>
        <w:rPr/>
        <w:t>Rencana Pembelajaran Semester (RPS) adalah dokumen perencanaan proses pembelajaran untuk satu mata kuliah selama satu semester, memuat target capaian, bahan kajian, metode, alokasi waktu, tahapan asesmen, dan bukti peninjauan berkala.</w:t>
      </w:r>
    </w:p>
    <w:p>
      <w:pPr>
        <w:pStyle w:val="ListBullet"/>
        <w:spacing w:after="80"/>
      </w:pPr>
      <w:r>
        <w:rPr/>
        <w:t>Project-Based Learning (PBL) dan Case-Based Learning (CBL) adalah metode pembelajaran inovatif berbasis proyek nyata atau studi kasus yang mendorong mahasiswa memecahkan masalah secara aktif dan kolaboratif.</w:t>
      </w:r>
    </w:p>
    <w:p>
      <w:pPr>
        <w:pStyle w:val="ListBullet"/>
        <w:spacing w:after="80"/>
      </w:pPr>
      <w:r>
        <w:rPr/>
        <w:t>Merdeka Belajar Kampus Merdeka (MBKM) adalah kebijakan yang memberikan hak belajar tiga semester di luar program studi, mencakup magang, pertukaran mahasiswa, penelitian, proyek kemanusiaan, dan bentuk kegiatan lain yang relevan.</w:t>
      </w:r>
    </w:p>
    <w:p>
      <w:pPr>
        <w:pStyle w:val="ListBullet"/>
        <w:spacing w:after="80"/>
      </w:pPr>
      <w:r>
        <w:rPr/>
        <w:t>Recognition of Prior Learning (RPL) adalah pengakuan atas capaian pembelajaran yang diperoleh seseorang dari pendidikan formal, nonformal, informal, dan/atau pengalaman kerja, yang dapat disetarakan dengan capaian pembelajaran pada program studi.</w:t>
      </w:r>
    </w:p>
    <w:p>
      <w:pPr>
        <w:pStyle w:val="ListBullet"/>
        <w:spacing w:after="80"/>
      </w:pPr>
      <w:r>
        <w:rPr/>
        <w:t>Persentase Jam Pembelajaran Praktik (PJP) adalah rasio jam pembelajaran praktikum, praktik lapangan, dan kegiatan MBKM terhadap total jam pembelajaran program studi.</w:t>
      </w:r>
    </w:p>
    <w:p>
      <w:pPr>
        <w:pStyle w:val="ListBullet"/>
        <w:spacing w:after="80"/>
      </w:pPr>
      <w:r>
        <w:rPr/>
        <w:t>Micro-credential adalah sertifikasi capaian pembelajaran atas kompetensi spesifik dalam cakupan yang lebih kecil dari satu program studi penuh, dapat diakui dan diakumulasi ke dalam capaian pembelajaran.</w:t>
      </w:r>
    </w:p>
    <w:p>
      <w:pPr>
        <w:spacing w:before="200" w:after="80"/>
      </w:pPr>
      <w:r>
        <w:rPr>
          <w:b/>
          <w:sz w:val="25"/>
        </w:rPr>
        <w:t>2. Pihak Yang Bertanggung Jawab Untuk Memenuhi Standar</w:t>
      </w:r>
    </w:p>
    <w:p>
      <w:pPr>
        <w:pStyle w:val="ListBullet"/>
        <w:spacing w:after="80"/>
      </w:pPr>
      <w:r>
        <w:rPr/>
        <w:t>Rektor, dalam menetapkan kebijakan Standar Proses Pembelajaran, mempertimbangkan VMTS Fakultas, kebutuhan DUDIKA, dan perkembangan IPTEK.</w:t>
      </w:r>
    </w:p>
    <w:p>
      <w:pPr>
        <w:pStyle w:val="ListBullet"/>
        <w:spacing w:after="80"/>
      </w:pPr>
      <w:r>
        <w:rPr/>
        <w:t>Wakil Rektor Bidang Akademik dan Kemahasiswaan, dalam mengendalikan kebijakan proses pembelajaran, MBKM, dan RPL.</w:t>
      </w:r>
    </w:p>
    <w:p>
      <w:pPr>
        <w:pStyle w:val="ListBullet"/>
        <w:spacing w:after="80"/>
      </w:pPr>
      <w:r>
        <w:rPr/>
        <w:t>Direktorat Pengembangan Kurikulum dan Pembelajaran Digital (DPKPD), dalam penyusunan pedoman kurikulum OBE, RPS, dan pembelajaran inovatif.</w:t>
      </w:r>
    </w:p>
    <w:p>
      <w:pPr>
        <w:pStyle w:val="ListBullet"/>
        <w:spacing w:after="80"/>
      </w:pPr>
      <w:r>
        <w:rPr/>
        <w:t>Dekan FTII dan Ketua Program Studi, dalam pelaksanaan dan verifikasi kesesuaian proses pembelajaran dengan standar.</w:t>
      </w:r>
    </w:p>
    <w:p>
      <w:pPr>
        <w:pStyle w:val="ListBullet"/>
        <w:spacing w:after="80"/>
      </w:pPr>
      <w:r>
        <w:rPr/>
        <w:t>Dosen dan Dosen Pembimbing MBKM/Magang, dalam pelaksanaan RPS, pembelajaran inovatif, dan pembimbingan MBKM/magang/tugas akhir.</w:t>
      </w:r>
    </w:p>
    <w:p>
      <w:pPr>
        <w:pStyle w:val="ListBullet"/>
        <w:spacing w:after="80"/>
      </w:pPr>
      <w:r>
        <w:rPr/>
        <w:t>Unit Pengelola MBKM, dalam pengelolaan kebijakan, dokumen perencanaan, dan monitoring-evaluasi pelaksanaan MBKM.</w:t>
      </w:r>
    </w:p>
    <w:p>
      <w:pPr>
        <w:pStyle w:val="ListBullet"/>
        <w:spacing w:after="80"/>
      </w:pPr>
      <w:r>
        <w:rPr/>
        <w:t>Gugus Kendali Mutu (GKM) Program Studi, dalam verifikasi kelengkapan RPS dan capaian indikator proses pembelajaran.</w:t>
      </w:r>
    </w:p>
    <w:p>
      <w:pPr>
        <w:spacing w:before="200" w:after="80"/>
      </w:pPr>
      <w:r>
        <w:rPr>
          <w:b/>
          <w:sz w:val="25"/>
        </w:rPr>
        <w:t>3. Pernyataan Isi Standar Proses Pembelajaran</w:t>
      </w:r>
    </w:p>
    <w:p>
      <w:pPr>
        <w:pStyle w:val="ListNumber"/>
        <w:spacing w:after="120"/>
      </w:pPr>
      <w:r>
        <w:rPr/>
        <w:t>Program Studi Sistem Informasi wajib memiliki dan menerapkan Standar Proses Pendidikan yang ditetapkan melalui keputusan Rektor dan ditinjau paling sedikit satu kali dalam satu siklus kurikulum (4-5 tahun).</w:t>
      </w:r>
    </w:p>
    <w:p>
      <w:pPr>
        <w:pStyle w:val="ListNumber"/>
        <w:spacing w:after="120"/>
      </w:pPr>
      <w:r>
        <w:rPr/>
        <w:t>Setiap program studi wajib memiliki dokumen kurikulum berbasis Outcome-Based Education (OBE) yang mengintegrasikan Project-Based Learning (PBL), Case-Based Learning (CBL), data-driven system, digital business, kewirausahaan, micro-credential, dan Recognition of Prior Learning (RPL), selaras dengan CPL, KKNI Level 6, dan kebutuhan DUDIKA.</w:t>
      </w:r>
    </w:p>
    <w:p>
      <w:pPr>
        <w:pStyle w:val="ListNumber"/>
        <w:spacing w:after="120"/>
      </w:pPr>
      <w:r>
        <w:rPr/>
        <w:t>Setiap dosen wajib menyusun dan memperbarui Rencana Pembelajaran Semester (RPS) untuk setiap mata kuliah yang diampu, dengan RPS mencakup sekurang-kurangnya 4 (empat) aspek: (a) target capaian, bahan kajian, metode, dan alokasi waktu; (b) tahapan asesmen; (c) bukti peninjauan berkala; dan (d) aksesibilitas RPS bagi mahasiswa serta pelaksanaan yang konsisten.</w:t>
      </w:r>
    </w:p>
    <w:p>
      <w:pPr>
        <w:pStyle w:val="ListNumber"/>
        <w:spacing w:after="120"/>
      </w:pPr>
      <w:r>
        <w:rPr/>
        <w:t>Program studi wajib memastikan paling sedikit 90% mata kuliah memiliki RPS lengkap terdokumentasi memenuhi 4 aspek pada tahun pertama penerapan standar, meningkat menjadi 100% pada tahun-tahun berikutnya, serta RPS ditinjau dan dimutakhirkan paling lambat setiap 2 (dua) tahun sekali.</w:t>
      </w:r>
    </w:p>
    <w:p>
      <w:pPr>
        <w:pStyle w:val="ListNumber"/>
        <w:spacing w:after="120"/>
      </w:pPr>
      <w:r>
        <w:rPr/>
        <w:t>Program Studi Sistem Informasi wajib menjamin kesesuaian RPS dengan CPL berbasis KKNI Level 6 untuk program sarjana sebesar 100% mata kuliah, dibuktikan melalui dokumen pemetaan CPL-CPMK-RPS.</w:t>
      </w:r>
    </w:p>
    <w:p>
      <w:pPr>
        <w:pStyle w:val="ListNumber"/>
        <w:spacing w:after="120"/>
      </w:pPr>
      <w:r>
        <w:rPr/>
        <w:t>Program Studi Sistem Informasi wajib memiliki dan menerapkan pedoman sistem penugasan dosen yang menjamin kesesuaian bidang keahlian, beban kerja, dan kebutuhan mata kuliah.</w:t>
      </w:r>
    </w:p>
    <w:p>
      <w:pPr>
        <w:pStyle w:val="ListNumber"/>
        <w:spacing w:after="120"/>
      </w:pPr>
      <w:r>
        <w:rPr/>
        <w:t>Program Studi Sistem Informasi wajib menjamin terlaksananya proses pembelajaran sesuai kalender akademik, termasuk keterlaksanaan pembelajaran minimal 16 kali pertemuan per semester dibuktikan melalui presensi dan/atau Berita Acara Perkuliahan (BAP), serta beban belajar program sarjana paling sedikit 146 SKS dengan pengaturan beban SKS semester 1-2 paling banyak 20 SKS dan semester 3-8 paling banyak 24 SKS.</w:t>
      </w:r>
    </w:p>
    <w:p>
      <w:pPr>
        <w:pStyle w:val="ListNumber"/>
        <w:spacing w:after="120"/>
      </w:pPr>
      <w:r>
        <w:rPr/>
        <w:t>Program Studi Sistem Informasi wajib menerapkan pembelajaran inovatif (PBL, CBL, micro-credential, RPL, pembelajaran berbasis penelitian/PkM/proyek/kasus) pada paling sedikit 80% mata kuliah pada tahun pertama penerapan standar, meningkat secara bertahap menuju paling sedikit 90%, sebagai praktik unggulan yang telah melampaui ambang skor tertinggi seluruh dokumen rujukan.</w:t>
      </w:r>
    </w:p>
    <w:p>
      <w:pPr>
        <w:pStyle w:val="ListNumber"/>
        <w:spacing w:after="120"/>
      </w:pPr>
      <w:r>
        <w:rPr/>
        <w:t>Program Studi Sistem Informasi wajib menetapkan dan mengukur Persentase Jam Pembelajaran Praktik (PJP), yaitu rasio jam pembelajaran praktikum, praktik lapangan, dan MBKM terhadap total jam pembelajaran, dengan ambang paling sedikit 20% dan paling banyak 50%, mengacu formula identik Panduan SPMI Program Sarjana (R1) dan LAM Teknik.</w:t>
      </w:r>
    </w:p>
    <w:p>
      <w:pPr>
        <w:pStyle w:val="ListNumber"/>
        <w:spacing w:after="120"/>
      </w:pPr>
      <w:r>
        <w:rPr/>
        <w:t>Program Studi Sistem Informasi wajib mengintegrasikan hasil penelitian dan/atau Pengabdian kepada Masyarakat (PkM) ke dalam pembelajaran pada paling sedikit 25% dari seluruh mata kuliah, dengan paling sedikit 4 (empat) mata kuliah terintegrasi hasil penelitian dan 4 (empat) mata kuliah terintegrasi hasil PkM per program studi per tahun sebagai angka absolut pembanding.</w:t>
      </w:r>
    </w:p>
    <w:p>
      <w:pPr>
        <w:pStyle w:val="ListNumber"/>
        <w:spacing w:after="120"/>
      </w:pPr>
      <w:r>
        <w:rPr/>
        <w:t>Program Studi Sistem Informasi wajib memiliki kebijakan dan pedoman Merdeka Belajar Kampus Merdeka (MBKM) yang dilengkapi checklist paling sedikit 5 dari 6 dokumen perencanaan (kebijakan/payung implementasi, kurikulum MBKM, MoU mitra, panduan dosen, panduan mahasiswa, panduan administrasi/monev), meningkat menjadi 6 dari 6 dokumen pada tahun kedua penerapan standar.</w:t>
      </w:r>
    </w:p>
    <w:p>
      <w:pPr>
        <w:pStyle w:val="ListNumber"/>
        <w:spacing w:after="120"/>
      </w:pPr>
      <w:r>
        <w:rPr/>
        <w:t>Program Studi Sistem Informasi wajib melaksanakan monitoring dan evaluasi pelaksanaan MBKM yang memenuhi paling sedikit 4 (empat) aspek: kesesuaian waktu pelaksanaan, kesesuaian bentuk kegiatan dengan mata kuliah konversi, ketersediaan bukti logbook, dan pengukuran CPL hasil MBKM.</w:t>
      </w:r>
    </w:p>
    <w:p>
      <w:pPr>
        <w:pStyle w:val="ListNumber"/>
        <w:spacing w:after="120"/>
      </w:pPr>
      <w:r>
        <w:rPr/>
        <w:t>Program Studi Sistem Informasi wajib menetapkan target partisipasi mahasiswa dalam kegiatan MBKM paling sedikit 15% pada tahun pertama, meningkat secara bertahap menuju paling sedikit 25%.</w:t>
      </w:r>
    </w:p>
    <w:p>
      <w:pPr>
        <w:pStyle w:val="ListNumber"/>
        <w:spacing w:after="120"/>
      </w:pPr>
      <w:r>
        <w:rPr/>
        <w:t>Program Studi Sistem Informasi wajib memiliki pedoman Recognition of Prior Learning (RPL) yang menetapkan ambang kuantitatif paling banyak 70% dari total SKS program studi yang dapat diakui melalui jalur RPL, disertai target jumlah mahasiswa pemanfaat RPL yang meningkat bertahap setiap tahun.</w:t>
      </w:r>
    </w:p>
    <w:p>
      <w:pPr>
        <w:pStyle w:val="ListNumber"/>
        <w:spacing w:after="120"/>
      </w:pPr>
      <w:r>
        <w:rPr/>
        <w:t>Program Studi Sistem Informasi wajib melaksanakan program magang mahasiswa di DUDIKA dan menyediakan tugas akhir bagi mahasiswa program sarjana secara terencana, terbimbing, terdokumentasi, dan dievaluasi.</w:t>
      </w:r>
    </w:p>
    <w:p>
      <w:pPr>
        <w:spacing w:before="200" w:after="80"/>
      </w:pPr>
      <w:r>
        <w:rPr>
          <w:b/>
          <w:sz w:val="25"/>
        </w:rPr>
        <w:t>4. Strategi Pencapaian Standar</w:t>
      </w:r>
    </w:p>
    <w:p>
      <w:pPr>
        <w:pStyle w:val="ListNumber"/>
        <w:spacing w:after="120"/>
      </w:pPr>
      <w:r>
        <w:rPr/>
        <w:t>Rektor menetapkan kebijakan, standar, pedoman, dan peraturan Standar Proses Pembelajaran sebagai bagian dari SPMI Universitas, dengan ambang indikator disetarakan pada skor tertinggi instrumen LAM Teknik/Panduan SPMI Program Sarjana (R1) dan kriteria Unggul LAM INFOKOM.</w:t>
      </w:r>
    </w:p>
    <w:p>
      <w:pPr>
        <w:pStyle w:val="ListNumber"/>
        <w:spacing w:after="120"/>
      </w:pPr>
      <w:r>
        <w:rPr/>
        <w:t>DPKPD menyusun dan memutakhirkan Pedoman Penyusunan RPS yang mewajibkan pemenuhan 4 aspek kelengkapan (target capaian/bahan kajian/metode/waktu, tahapan asesmen, bukti peninjauan berkala, aksesibilitas) serta menetapkan siklus tinjauan RPS maksimal 2 tahun.</w:t>
      </w:r>
    </w:p>
    <w:p>
      <w:pPr>
        <w:pStyle w:val="ListNumber"/>
        <w:spacing w:after="120"/>
      </w:pPr>
      <w:r>
        <w:rPr/>
        <w:t>Ketua Program Studi memastikan seluruh mata kuliah memiliki RPS terdigitalisasi yang diunggah pada sistem informasi akademik dan diverifikasi kesesuaiannya dengan CPL berbasis KKNI Level 6 sebelum awal semester.</w:t>
      </w:r>
    </w:p>
    <w:p>
      <w:pPr>
        <w:pStyle w:val="ListNumber"/>
        <w:spacing w:after="120"/>
      </w:pPr>
      <w:r>
        <w:rPr/>
        <w:t>DPKPD bersama program studi memperluas implementasi PBL, CBL, micro-credential, dan RPL secara bertahap menuju 90% mata kuliah, serta memantau capaiannya melalui laporan semester.</w:t>
      </w:r>
    </w:p>
    <w:p>
      <w:pPr>
        <w:pStyle w:val="ListNumber"/>
        <w:spacing w:after="120"/>
      </w:pPr>
      <w:r>
        <w:rPr/>
        <w:t>FTII menghitung dan memantau Persentase Jam Pembelajaran Praktik (PJP) setiap program studi menggunakan formula PJP = (Jam Praktikum + Praktik Lapangan + MBKM) / (Jam Pembelajaran Total) x 100%, dengan target berada pada rentang 20%-50%.</w:t>
      </w:r>
    </w:p>
    <w:p>
      <w:pPr>
        <w:pStyle w:val="ListNumber"/>
        <w:spacing w:after="120"/>
      </w:pPr>
      <w:r>
        <w:rPr/>
        <w:t>Dosen mengintegrasikan hasil penelitian dan/atau PkM ke dalam mata kuliah melalui penyempurnaan RPS; DJM memantau dan melaporkan jumlah mata kuliah terintegrasi penelitian dan PkM secara terpisah setiap tahun akademik.</w:t>
      </w:r>
    </w:p>
    <w:p>
      <w:pPr>
        <w:pStyle w:val="ListNumber"/>
        <w:spacing w:after="120"/>
      </w:pPr>
      <w:r>
        <w:rPr/>
        <w:t>Wakil Rektor Bidang Akademik bersama DPKPD, DAA, dan Unit MBKM menyusun kebijakan MBKM yang melengkapi 6 dokumen perencanaan (kebijakan, kurikulum MBKM, MoU mitra, panduan dosen, panduan mahasiswa, panduan admin/monev) serta menetapkan 4 aspek monev pelaksanaan MBKM (kesesuaian waktu, kesesuaian bentuk kegiatan, bukti logbook, pengukuran CPL).</w:t>
      </w:r>
    </w:p>
    <w:p>
      <w:pPr>
        <w:pStyle w:val="ListNumber"/>
        <w:spacing w:after="120"/>
      </w:pPr>
      <w:r>
        <w:rPr/>
        <w:t>Program studi melakukan sosialisasi dan pendampingan MBKM untuk mencapai target partisipasi mahasiswa 15% menuju 25%, serta menyusun dokumen rekognisi MBKM secara sistematis.</w:t>
      </w:r>
    </w:p>
    <w:p>
      <w:pPr>
        <w:pStyle w:val="ListNumber"/>
        <w:spacing w:after="120"/>
      </w:pPr>
      <w:r>
        <w:rPr/>
        <w:t>DJM menyusun pedoman RPL yang menetapkan ambang maksimal 70% SKS dapat diakui melalui RPL, dan program studi mencatat serta melaporkan jumlah pemanfaat RPL setiap tahun akademik.</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2024/2025</w:t>
            </w:r>
          </w:p>
        </w:tc>
        <w:tc>
          <w:tcPr>
            <w:tcW w:type="dxa" w:w="1234"/>
          </w:tcPr>
          <w:p>
            <w:pPr/>
            <w:r/>
            <w:r>
              <w:rPr/>
            </w:r>
            <w:r>
              <w:rPr>
                <w:b/>
              </w:rPr>
              <w:t>Target 2025/2026</w:t>
            </w:r>
          </w:p>
        </w:tc>
        <w:tc>
          <w:tcPr>
            <w:tcW w:type="dxa" w:w="1234"/>
          </w:tcPr>
          <w:p>
            <w:pPr/>
            <w:r/>
            <w:r>
              <w:rPr/>
            </w:r>
            <w:r>
              <w:rPr>
                <w:b/>
              </w:rPr>
              <w:t>Target 2026/2027</w:t>
            </w:r>
          </w:p>
        </w:tc>
      </w:tr>
      <w:tr>
        <w:tc>
          <w:tcPr>
            <w:tcW w:type="dxa" w:w="1234"/>
          </w:tcPr>
          <w:p>
            <w:pPr/>
            <w:r/>
            <w:r>
              <w:rPr/>
            </w:r>
            <w:r>
              <w:rPr>
                <w:b w:val="0"/>
              </w:rPr>
              <w:t>1</w:t>
            </w:r>
          </w:p>
        </w:tc>
        <w:tc>
          <w:tcPr>
            <w:tcW w:type="dxa" w:w="1234"/>
          </w:tcPr>
          <w:p>
            <w:pPr/>
            <w:r/>
            <w:r>
              <w:rPr/>
            </w:r>
            <w:r>
              <w:rPr>
                <w:b w:val="0"/>
              </w:rPr>
              <w:t>Ketersediaan Kebijakan Standar Proses Pendidikan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Mata kuliah dengan RPS lengkap 4 aspek terdokumentasi [IKU]</w:t>
            </w:r>
          </w:p>
        </w:tc>
        <w:tc>
          <w:tcPr>
            <w:tcW w:type="dxa" w:w="1234"/>
          </w:tcPr>
          <w:p>
            <w:pPr/>
            <w:r/>
            <w:r>
              <w:rPr/>
            </w:r>
            <w:r>
              <w:rPr>
                <w:b w:val="0"/>
              </w:rPr>
              <w:t>%</w:t>
            </w:r>
          </w:p>
        </w:tc>
        <w:tc>
          <w:tcPr>
            <w:tcW w:type="dxa" w:w="1234"/>
          </w:tcPr>
          <w:p>
            <w:pPr/>
            <w:r/>
            <w:r>
              <w:rPr/>
            </w:r>
            <w:r>
              <w:rPr>
                <w:b w:val="0"/>
              </w:rPr>
              <w:t>75-100 (R1)</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Siklus tinjauan/pemutakhiran RPS [IKU]</w:t>
            </w:r>
          </w:p>
        </w:tc>
        <w:tc>
          <w:tcPr>
            <w:tcW w:type="dxa" w:w="1234"/>
          </w:tcPr>
          <w:p>
            <w:pPr/>
            <w:r/>
            <w:r>
              <w:rPr/>
            </w:r>
            <w:r>
              <w:rPr>
                <w:b w:val="0"/>
              </w:rPr>
              <w:t>Tahun (maks)</w:t>
            </w:r>
          </w:p>
        </w:tc>
        <w:tc>
          <w:tcPr>
            <w:tcW w:type="dxa" w:w="1234"/>
          </w:tcPr>
          <w:p>
            <w:pPr/>
            <w:r/>
            <w:r>
              <w:rPr/>
            </w:r>
            <w:r>
              <w:rPr>
                <w:b w:val="0"/>
              </w:rPr>
              <w:t>maks 2 (R5)</w:t>
            </w:r>
          </w:p>
        </w:tc>
        <w:tc>
          <w:tcPr>
            <w:tcW w:type="dxa" w:w="1234"/>
          </w:tcPr>
          <w:p>
            <w:pPr/>
            <w:r/>
            <w:r>
              <w:rPr/>
            </w:r>
            <w:r>
              <w:rPr>
                <w:b w:val="0"/>
              </w:rPr>
              <w:t>2</w:t>
            </w:r>
          </w:p>
        </w:tc>
        <w:tc>
          <w:tcPr>
            <w:tcW w:type="dxa" w:w="1234"/>
          </w:tcPr>
          <w:p>
            <w:pPr/>
            <w:r/>
            <w:r>
              <w:rPr/>
            </w:r>
            <w:r>
              <w:rPr>
                <w:b w:val="0"/>
              </w:rPr>
              <w:t>2</w:t>
            </w:r>
          </w:p>
        </w:tc>
        <w:tc>
          <w:tcPr>
            <w:tcW w:type="dxa" w:w="1234"/>
          </w:tcPr>
          <w:p>
            <w:pPr/>
            <w:r/>
            <w:r>
              <w:rPr/>
            </w:r>
            <w:r>
              <w:rPr>
                <w:b w:val="0"/>
              </w:rPr>
              <w:t>2</w:t>
            </w:r>
          </w:p>
        </w:tc>
      </w:tr>
      <w:tr>
        <w:tc>
          <w:tcPr>
            <w:tcW w:type="dxa" w:w="1234"/>
          </w:tcPr>
          <w:p>
            <w:pPr/>
            <w:r/>
            <w:r>
              <w:rPr/>
            </w:r>
            <w:r>
              <w:rPr>
                <w:b w:val="0"/>
              </w:rPr>
              <w:t>4</w:t>
            </w:r>
          </w:p>
        </w:tc>
        <w:tc>
          <w:tcPr>
            <w:tcW w:type="dxa" w:w="1234"/>
          </w:tcPr>
          <w:p>
            <w:pPr/>
            <w:r/>
            <w:r>
              <w:rPr/>
            </w:r>
            <w:r>
              <w:rPr>
                <w:b w:val="0"/>
              </w:rPr>
              <w:t>Kesesuaian RPS dengan CPL berbasis KKNI Level 6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Mata kuliah menerapkan pembelajaran inovatif (PBL/CBL/micro-credential/RPL) [IKU]</w:t>
            </w:r>
          </w:p>
        </w:tc>
        <w:tc>
          <w:tcPr>
            <w:tcW w:type="dxa" w:w="1234"/>
          </w:tcPr>
          <w:p>
            <w:pPr/>
            <w:r/>
            <w:r>
              <w:rPr/>
            </w:r>
            <w:r>
              <w:rPr>
                <w:b w:val="0"/>
              </w:rPr>
              <w:t>%</w:t>
            </w:r>
          </w:p>
        </w:tc>
        <w:tc>
          <w:tcPr>
            <w:tcW w:type="dxa" w:w="1234"/>
          </w:tcPr>
          <w:p>
            <w:pPr/>
            <w:r/>
            <w:r>
              <w:rPr/>
            </w:r>
            <w:r>
              <w:rPr>
                <w:b w:val="0"/>
              </w:rPr>
              <w:t>75-100 (R1); ≥70 (R5)</w:t>
            </w:r>
          </w:p>
        </w:tc>
        <w:tc>
          <w:tcPr>
            <w:tcW w:type="dxa" w:w="1234"/>
          </w:tcPr>
          <w:p>
            <w:pPr/>
            <w:r/>
            <w:r>
              <w:rPr/>
            </w:r>
            <w:r>
              <w:rPr>
                <w:b w:val="0"/>
              </w:rPr>
              <w:t>80</w:t>
            </w:r>
          </w:p>
        </w:tc>
        <w:tc>
          <w:tcPr>
            <w:tcW w:type="dxa" w:w="1234"/>
          </w:tcPr>
          <w:p>
            <w:pPr/>
            <w:r/>
            <w:r>
              <w:rPr/>
            </w:r>
            <w:r>
              <w:rPr>
                <w:b w:val="0"/>
              </w:rPr>
              <w:t>85</w:t>
            </w:r>
          </w:p>
        </w:tc>
        <w:tc>
          <w:tcPr>
            <w:tcW w:type="dxa" w:w="1234"/>
          </w:tcPr>
          <w:p>
            <w:pPr/>
            <w:r/>
            <w:r>
              <w:rPr/>
            </w:r>
            <w:r>
              <w:rPr>
                <w:b w:val="0"/>
              </w:rPr>
              <w:t>90</w:t>
            </w:r>
          </w:p>
        </w:tc>
      </w:tr>
      <w:tr>
        <w:tc>
          <w:tcPr>
            <w:tcW w:type="dxa" w:w="1234"/>
          </w:tcPr>
          <w:p>
            <w:pPr/>
            <w:r/>
            <w:r>
              <w:rPr/>
            </w:r>
            <w:r>
              <w:rPr>
                <w:b w:val="0"/>
              </w:rPr>
              <w:t>6</w:t>
            </w:r>
          </w:p>
        </w:tc>
        <w:tc>
          <w:tcPr>
            <w:tcW w:type="dxa" w:w="1234"/>
          </w:tcPr>
          <w:p>
            <w:pPr/>
            <w:r/>
            <w:r>
              <w:rPr/>
            </w:r>
            <w:r>
              <w:rPr>
                <w:b w:val="0"/>
              </w:rPr>
              <w:t>Mahasiswa mengikuti program micro-credential [IKT]</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15</w:t>
            </w:r>
          </w:p>
        </w:tc>
        <w:tc>
          <w:tcPr>
            <w:tcW w:type="dxa" w:w="1234"/>
          </w:tcPr>
          <w:p>
            <w:pPr/>
            <w:r/>
            <w:r>
              <w:rPr/>
            </w:r>
            <w:r>
              <w:rPr>
                <w:b w:val="0"/>
              </w:rPr>
              <w:t>18</w:t>
            </w:r>
          </w:p>
        </w:tc>
        <w:tc>
          <w:tcPr>
            <w:tcW w:type="dxa" w:w="1234"/>
          </w:tcPr>
          <w:p>
            <w:pPr/>
            <w:r/>
            <w:r>
              <w:rPr/>
            </w:r>
            <w:r>
              <w:rPr>
                <w:b w:val="0"/>
              </w:rPr>
              <w:t>20</w:t>
            </w:r>
          </w:p>
        </w:tc>
      </w:tr>
      <w:tr>
        <w:tc>
          <w:tcPr>
            <w:tcW w:type="dxa" w:w="1234"/>
          </w:tcPr>
          <w:p>
            <w:pPr/>
            <w:r/>
            <w:r>
              <w:rPr/>
            </w:r>
            <w:r>
              <w:rPr>
                <w:b w:val="0"/>
              </w:rPr>
              <w:t>7</w:t>
            </w:r>
          </w:p>
        </w:tc>
        <w:tc>
          <w:tcPr>
            <w:tcW w:type="dxa" w:w="1234"/>
          </w:tcPr>
          <w:p>
            <w:pPr/>
            <w:r/>
            <w:r>
              <w:rPr/>
            </w:r>
            <w:r>
              <w:rPr>
                <w:b w:val="0"/>
              </w:rPr>
              <w:t>Mata kuliah terintegrasi hasil penelitian (absolut per prodi) [IKU]</w:t>
            </w:r>
          </w:p>
        </w:tc>
        <w:tc>
          <w:tcPr>
            <w:tcW w:type="dxa" w:w="1234"/>
          </w:tcPr>
          <w:p>
            <w:pPr/>
            <w:r/>
            <w:r>
              <w:rPr/>
            </w:r>
            <w:r>
              <w:rPr>
                <w:b w:val="0"/>
              </w:rPr>
              <w:t>Jumlah MK</w:t>
            </w:r>
          </w:p>
        </w:tc>
        <w:tc>
          <w:tcPr>
            <w:tcW w:type="dxa" w:w="1234"/>
          </w:tcPr>
          <w:p>
            <w:pPr/>
            <w:r/>
            <w:r>
              <w:rPr/>
            </w:r>
            <w:r>
              <w:rPr>
                <w:b w:val="0"/>
              </w:rPr>
              <w:t>&gt;3 (R1); ≥4 (R5)</w:t>
            </w:r>
          </w:p>
        </w:tc>
        <w:tc>
          <w:tcPr>
            <w:tcW w:type="dxa" w:w="1234"/>
          </w:tcPr>
          <w:p>
            <w:pPr/>
            <w:r/>
            <w:r>
              <w:rPr/>
            </w:r>
            <w:r>
              <w:rPr>
                <w:b w:val="0"/>
              </w:rPr>
              <w:t>4</w:t>
            </w:r>
          </w:p>
        </w:tc>
        <w:tc>
          <w:tcPr>
            <w:tcW w:type="dxa" w:w="1234"/>
          </w:tcPr>
          <w:p>
            <w:pPr/>
            <w:r/>
            <w:r>
              <w:rPr/>
            </w:r>
            <w:r>
              <w:rPr>
                <w:b w:val="0"/>
              </w:rPr>
              <w:t>5</w:t>
            </w:r>
          </w:p>
        </w:tc>
        <w:tc>
          <w:tcPr>
            <w:tcW w:type="dxa" w:w="1234"/>
          </w:tcPr>
          <w:p>
            <w:pPr/>
            <w:r/>
            <w:r>
              <w:rPr/>
            </w:r>
            <w:r>
              <w:rPr>
                <w:b w:val="0"/>
              </w:rPr>
              <w:t>6</w:t>
            </w:r>
          </w:p>
        </w:tc>
      </w:tr>
      <w:tr>
        <w:tc>
          <w:tcPr>
            <w:tcW w:type="dxa" w:w="1234"/>
          </w:tcPr>
          <w:p>
            <w:pPr/>
            <w:r/>
            <w:r>
              <w:rPr/>
            </w:r>
            <w:r>
              <w:rPr>
                <w:b w:val="0"/>
              </w:rPr>
              <w:t>8</w:t>
            </w:r>
          </w:p>
        </w:tc>
        <w:tc>
          <w:tcPr>
            <w:tcW w:type="dxa" w:w="1234"/>
          </w:tcPr>
          <w:p>
            <w:pPr/>
            <w:r/>
            <w:r>
              <w:rPr/>
            </w:r>
            <w:r>
              <w:rPr>
                <w:b w:val="0"/>
              </w:rPr>
              <w:t>Mata kuliah terintegrasi hasil PkM (absolut per prodi) [IKU]</w:t>
            </w:r>
          </w:p>
        </w:tc>
        <w:tc>
          <w:tcPr>
            <w:tcW w:type="dxa" w:w="1234"/>
          </w:tcPr>
          <w:p>
            <w:pPr/>
            <w:r/>
            <w:r>
              <w:rPr/>
            </w:r>
            <w:r>
              <w:rPr>
                <w:b w:val="0"/>
              </w:rPr>
              <w:t>Jumlah MK</w:t>
            </w:r>
          </w:p>
        </w:tc>
        <w:tc>
          <w:tcPr>
            <w:tcW w:type="dxa" w:w="1234"/>
          </w:tcPr>
          <w:p>
            <w:pPr/>
            <w:r/>
            <w:r>
              <w:rPr/>
            </w:r>
            <w:r>
              <w:rPr>
                <w:b w:val="0"/>
              </w:rPr>
              <w:t>≥4 (R5)</w:t>
            </w:r>
          </w:p>
        </w:tc>
        <w:tc>
          <w:tcPr>
            <w:tcW w:type="dxa" w:w="1234"/>
          </w:tcPr>
          <w:p>
            <w:pPr/>
            <w:r/>
            <w:r>
              <w:rPr/>
            </w:r>
            <w:r>
              <w:rPr>
                <w:b w:val="0"/>
              </w:rPr>
              <w:t>4</w:t>
            </w:r>
          </w:p>
        </w:tc>
        <w:tc>
          <w:tcPr>
            <w:tcW w:type="dxa" w:w="1234"/>
          </w:tcPr>
          <w:p>
            <w:pPr/>
            <w:r/>
            <w:r>
              <w:rPr/>
            </w:r>
            <w:r>
              <w:rPr>
                <w:b w:val="0"/>
              </w:rPr>
              <w:t>5</w:t>
            </w:r>
          </w:p>
        </w:tc>
        <w:tc>
          <w:tcPr>
            <w:tcW w:type="dxa" w:w="1234"/>
          </w:tcPr>
          <w:p>
            <w:pPr/>
            <w:r/>
            <w:r>
              <w:rPr/>
            </w:r>
            <w:r>
              <w:rPr>
                <w:b w:val="0"/>
              </w:rPr>
              <w:t>6</w:t>
            </w:r>
          </w:p>
        </w:tc>
      </w:tr>
      <w:tr>
        <w:tc>
          <w:tcPr>
            <w:tcW w:type="dxa" w:w="1234"/>
          </w:tcPr>
          <w:p>
            <w:pPr/>
            <w:r/>
            <w:r>
              <w:rPr/>
            </w:r>
            <w:r>
              <w:rPr>
                <w:b w:val="0"/>
              </w:rPr>
              <w:t>9</w:t>
            </w:r>
          </w:p>
        </w:tc>
        <w:tc>
          <w:tcPr>
            <w:tcW w:type="dxa" w:w="1234"/>
          </w:tcPr>
          <w:p>
            <w:pPr/>
            <w:r/>
            <w:r>
              <w:rPr/>
            </w:r>
            <w:r>
              <w:rPr>
                <w:b w:val="0"/>
              </w:rPr>
              <w:t>Mata kuliah memanfaatkan hasil penelitian/PkM/proyek/kasus [IKU]</w:t>
            </w:r>
          </w:p>
        </w:tc>
        <w:tc>
          <w:tcPr>
            <w:tcW w:type="dxa" w:w="1234"/>
          </w:tcPr>
          <w:p>
            <w:pPr/>
            <w:r/>
            <w:r>
              <w:rPr/>
            </w:r>
            <w:r>
              <w:rPr>
                <w:b w:val="0"/>
              </w:rPr>
              <w:t>% dari seluruh MK</w:t>
            </w:r>
          </w:p>
        </w:tc>
        <w:tc>
          <w:tcPr>
            <w:tcW w:type="dxa" w:w="1234"/>
          </w:tcPr>
          <w:p>
            <w:pPr/>
            <w:r/>
            <w:r>
              <w:rPr/>
            </w:r>
            <w:r>
              <w:rPr>
                <w:b w:val="0"/>
              </w:rPr>
              <w:t>≥10 (R2)</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10</w:t>
            </w:r>
          </w:p>
        </w:tc>
        <w:tc>
          <w:tcPr>
            <w:tcW w:type="dxa" w:w="1234"/>
          </w:tcPr>
          <w:p>
            <w:pPr/>
            <w:r/>
            <w:r>
              <w:rPr/>
            </w:r>
            <w:r>
              <w:rPr>
                <w:b w:val="0"/>
              </w:rPr>
              <w:t>Beban belajar minimal program sarjana [IKU]</w:t>
            </w:r>
          </w:p>
        </w:tc>
        <w:tc>
          <w:tcPr>
            <w:tcW w:type="dxa" w:w="1234"/>
          </w:tcPr>
          <w:p>
            <w:pPr/>
            <w:r/>
            <w:r>
              <w:rPr/>
            </w:r>
            <w:r>
              <w:rPr>
                <w:b w:val="0"/>
              </w:rPr>
              <w:t>SKS</w:t>
            </w:r>
          </w:p>
        </w:tc>
        <w:tc>
          <w:tcPr>
            <w:tcW w:type="dxa" w:w="1234"/>
          </w:tcPr>
          <w:p>
            <w:pPr/>
            <w:r/>
            <w:r>
              <w:rPr/>
            </w:r>
            <w:r>
              <w:rPr>
                <w:b w:val="0"/>
              </w:rPr>
              <w:t>≥144 (R5)</w:t>
            </w:r>
          </w:p>
        </w:tc>
        <w:tc>
          <w:tcPr>
            <w:tcW w:type="dxa" w:w="1234"/>
          </w:tcPr>
          <w:p>
            <w:pPr/>
            <w:r/>
            <w:r>
              <w:rPr/>
            </w:r>
            <w:r>
              <w:rPr>
                <w:b w:val="0"/>
              </w:rPr>
              <w:t>146</w:t>
            </w:r>
          </w:p>
        </w:tc>
        <w:tc>
          <w:tcPr>
            <w:tcW w:type="dxa" w:w="1234"/>
          </w:tcPr>
          <w:p>
            <w:pPr/>
            <w:r/>
            <w:r>
              <w:rPr/>
            </w:r>
            <w:r>
              <w:rPr>
                <w:b w:val="0"/>
              </w:rPr>
              <w:t>146</w:t>
            </w:r>
          </w:p>
        </w:tc>
        <w:tc>
          <w:tcPr>
            <w:tcW w:type="dxa" w:w="1234"/>
          </w:tcPr>
          <w:p>
            <w:pPr/>
            <w:r/>
            <w:r>
              <w:rPr/>
            </w:r>
            <w:r>
              <w:rPr>
                <w:b w:val="0"/>
              </w:rPr>
              <w:t>146</w:t>
            </w:r>
          </w:p>
        </w:tc>
      </w:tr>
      <w:tr>
        <w:tc>
          <w:tcPr>
            <w:tcW w:type="dxa" w:w="1234"/>
          </w:tcPr>
          <w:p>
            <w:pPr/>
            <w:r/>
            <w:r>
              <w:rPr/>
            </w:r>
            <w:r>
              <w:rPr>
                <w:b w:val="0"/>
              </w:rPr>
              <w:t>11</w:t>
            </w:r>
          </w:p>
        </w:tc>
        <w:tc>
          <w:tcPr>
            <w:tcW w:type="dxa" w:w="1234"/>
          </w:tcPr>
          <w:p>
            <w:pPr/>
            <w:r/>
            <w:r>
              <w:rPr/>
            </w:r>
            <w:r>
              <w:rPr>
                <w:b w:val="0"/>
              </w:rPr>
              <w:t>Jumlah minimal pertemuan per semester [IKU]</w:t>
            </w:r>
          </w:p>
        </w:tc>
        <w:tc>
          <w:tcPr>
            <w:tcW w:type="dxa" w:w="1234"/>
          </w:tcPr>
          <w:p>
            <w:pPr/>
            <w:r/>
            <w:r>
              <w:rPr/>
            </w:r>
            <w:r>
              <w:rPr>
                <w:b w:val="0"/>
              </w:rPr>
              <w:t>Kali</w:t>
            </w:r>
          </w:p>
        </w:tc>
        <w:tc>
          <w:tcPr>
            <w:tcW w:type="dxa" w:w="1234"/>
          </w:tcPr>
          <w:p>
            <w:pPr/>
            <w:r/>
            <w:r>
              <w:rPr/>
            </w:r>
            <w:r>
              <w:rPr>
                <w:b w:val="0"/>
              </w:rPr>
              <w:t>16 (R5)</w:t>
            </w:r>
          </w:p>
        </w:tc>
        <w:tc>
          <w:tcPr>
            <w:tcW w:type="dxa" w:w="1234"/>
          </w:tcPr>
          <w:p>
            <w:pPr/>
            <w:r/>
            <w:r>
              <w:rPr/>
            </w:r>
            <w:r>
              <w:rPr>
                <w:b w:val="0"/>
              </w:rPr>
              <w:t>16</w:t>
            </w:r>
          </w:p>
        </w:tc>
        <w:tc>
          <w:tcPr>
            <w:tcW w:type="dxa" w:w="1234"/>
          </w:tcPr>
          <w:p>
            <w:pPr/>
            <w:r/>
            <w:r>
              <w:rPr/>
            </w:r>
            <w:r>
              <w:rPr>
                <w:b w:val="0"/>
              </w:rPr>
              <w:t>16</w:t>
            </w:r>
          </w:p>
        </w:tc>
        <w:tc>
          <w:tcPr>
            <w:tcW w:type="dxa" w:w="1234"/>
          </w:tcPr>
          <w:p>
            <w:pPr/>
            <w:r/>
            <w:r>
              <w:rPr/>
            </w:r>
            <w:r>
              <w:rPr>
                <w:b w:val="0"/>
              </w:rPr>
              <w:t>16</w:t>
            </w:r>
          </w:p>
        </w:tc>
      </w:tr>
      <w:tr>
        <w:tc>
          <w:tcPr>
            <w:tcW w:type="dxa" w:w="1234"/>
          </w:tcPr>
          <w:p>
            <w:pPr/>
            <w:r/>
            <w:r>
              <w:rPr/>
            </w:r>
            <w:r>
              <w:rPr>
                <w:b w:val="0"/>
              </w:rPr>
              <w:t>12</w:t>
            </w:r>
          </w:p>
        </w:tc>
        <w:tc>
          <w:tcPr>
            <w:tcW w:type="dxa" w:w="1234"/>
          </w:tcPr>
          <w:p>
            <w:pPr/>
            <w:r/>
            <w:r>
              <w:rPr/>
            </w:r>
            <w:r>
              <w:rPr>
                <w:b w:val="0"/>
              </w:rPr>
              <w:t>Persentase Jam Pembelajaran Praktik (PJP) [IKU - baru]</w:t>
            </w:r>
          </w:p>
        </w:tc>
        <w:tc>
          <w:tcPr>
            <w:tcW w:type="dxa" w:w="1234"/>
          </w:tcPr>
          <w:p>
            <w:pPr/>
            <w:r/>
            <w:r>
              <w:rPr/>
            </w:r>
            <w:r>
              <w:rPr>
                <w:b w:val="0"/>
              </w:rPr>
              <w:t>%</w:t>
            </w:r>
          </w:p>
        </w:tc>
        <w:tc>
          <w:tcPr>
            <w:tcW w:type="dxa" w:w="1234"/>
          </w:tcPr>
          <w:p>
            <w:pPr/>
            <w:r/>
            <w:r>
              <w:rPr/>
            </w:r>
            <w:r>
              <w:rPr>
                <w:b w:val="0"/>
              </w:rPr>
              <w:t>20-50 (R1/R2)</w:t>
            </w:r>
          </w:p>
        </w:tc>
        <w:tc>
          <w:tcPr>
            <w:tcW w:type="dxa" w:w="1234"/>
          </w:tcPr>
          <w:p>
            <w:pPr/>
            <w:r/>
            <w:r>
              <w:rPr/>
            </w:r>
            <w:r>
              <w:rPr>
                <w:b w:val="0"/>
              </w:rPr>
              <w:t>20</w:t>
            </w:r>
          </w:p>
        </w:tc>
        <w:tc>
          <w:tcPr>
            <w:tcW w:type="dxa" w:w="1234"/>
          </w:tcPr>
          <w:p>
            <w:pPr/>
            <w:r/>
            <w:r>
              <w:rPr/>
            </w:r>
            <w:r>
              <w:rPr>
                <w:b w:val="0"/>
              </w:rPr>
              <w:t>25</w:t>
            </w:r>
          </w:p>
        </w:tc>
        <w:tc>
          <w:tcPr>
            <w:tcW w:type="dxa" w:w="1234"/>
          </w:tcPr>
          <w:p>
            <w:pPr/>
            <w:r/>
            <w:r>
              <w:rPr/>
            </w:r>
            <w:r>
              <w:rPr>
                <w:b w:val="0"/>
              </w:rPr>
              <w:t>30</w:t>
            </w:r>
          </w:p>
        </w:tc>
      </w:tr>
      <w:tr>
        <w:tc>
          <w:tcPr>
            <w:tcW w:type="dxa" w:w="1234"/>
          </w:tcPr>
          <w:p>
            <w:pPr/>
            <w:r/>
            <w:r>
              <w:rPr/>
            </w:r>
            <w:r>
              <w:rPr>
                <w:b w:val="0"/>
              </w:rPr>
              <w:t>13</w:t>
            </w:r>
          </w:p>
        </w:tc>
        <w:tc>
          <w:tcPr>
            <w:tcW w:type="dxa" w:w="1234"/>
          </w:tcPr>
          <w:p>
            <w:pPr/>
            <w:r/>
            <w:r>
              <w:rPr/>
            </w:r>
            <w:r>
              <w:rPr>
                <w:b w:val="0"/>
              </w:rPr>
              <w:t>Kelengkapan dokumen perencanaan MBKM [IKU - baru]</w:t>
            </w:r>
          </w:p>
        </w:tc>
        <w:tc>
          <w:tcPr>
            <w:tcW w:type="dxa" w:w="1234"/>
          </w:tcPr>
          <w:p>
            <w:pPr/>
            <w:r/>
            <w:r>
              <w:rPr/>
            </w:r>
            <w:r>
              <w:rPr>
                <w:b w:val="0"/>
              </w:rPr>
              <w:t>Jumlah dokumen dari 6</w:t>
            </w:r>
          </w:p>
        </w:tc>
        <w:tc>
          <w:tcPr>
            <w:tcW w:type="dxa" w:w="1234"/>
          </w:tcPr>
          <w:p>
            <w:pPr/>
            <w:r/>
            <w:r>
              <w:rPr/>
            </w:r>
            <w:r>
              <w:rPr>
                <w:b w:val="0"/>
              </w:rPr>
              <w:t>5-6 dari 6 (R1)</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6</w:t>
            </w:r>
          </w:p>
        </w:tc>
      </w:tr>
      <w:tr>
        <w:tc>
          <w:tcPr>
            <w:tcW w:type="dxa" w:w="1234"/>
          </w:tcPr>
          <w:p>
            <w:pPr/>
            <w:r/>
            <w:r>
              <w:rPr/>
            </w:r>
            <w:r>
              <w:rPr>
                <w:b w:val="0"/>
              </w:rPr>
              <w:t>14</w:t>
            </w:r>
          </w:p>
        </w:tc>
        <w:tc>
          <w:tcPr>
            <w:tcW w:type="dxa" w:w="1234"/>
          </w:tcPr>
          <w:p>
            <w:pPr/>
            <w:r/>
            <w:r>
              <w:rPr/>
            </w:r>
            <w:r>
              <w:rPr>
                <w:b w:val="0"/>
              </w:rPr>
              <w:t>Pemenuhan aspek monev pelaksanaan MBKM [IKU - baru]</w:t>
            </w:r>
          </w:p>
        </w:tc>
        <w:tc>
          <w:tcPr>
            <w:tcW w:type="dxa" w:w="1234"/>
          </w:tcPr>
          <w:p>
            <w:pPr/>
            <w:r/>
            <w:r>
              <w:rPr/>
            </w:r>
            <w:r>
              <w:rPr>
                <w:b w:val="0"/>
              </w:rPr>
              <w:t>Jumlah aspek dari 4</w:t>
            </w:r>
          </w:p>
        </w:tc>
        <w:tc>
          <w:tcPr>
            <w:tcW w:type="dxa" w:w="1234"/>
          </w:tcPr>
          <w:p>
            <w:pPr/>
            <w:r/>
            <w:r>
              <w:rPr/>
            </w:r>
            <w:r>
              <w:rPr>
                <w:b w:val="0"/>
              </w:rPr>
              <w:t>4 dari 4 (R1)</w:t>
            </w:r>
          </w:p>
        </w:tc>
        <w:tc>
          <w:tcPr>
            <w:tcW w:type="dxa" w:w="1234"/>
          </w:tcPr>
          <w:p>
            <w:pPr/>
            <w:r/>
            <w:r>
              <w:rPr/>
            </w:r>
            <w:r>
              <w:rPr>
                <w:b w:val="0"/>
              </w:rPr>
              <w:t>3</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15</w:t>
            </w:r>
          </w:p>
        </w:tc>
        <w:tc>
          <w:tcPr>
            <w:tcW w:type="dxa" w:w="1234"/>
          </w:tcPr>
          <w:p>
            <w:pPr/>
            <w:r/>
            <w:r>
              <w:rPr/>
            </w:r>
            <w:r>
              <w:rPr>
                <w:b w:val="0"/>
              </w:rPr>
              <w:t>Mahasiswa mengikuti kegiatan MBKM [IKU - baru]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15</w:t>
            </w:r>
          </w:p>
        </w:tc>
        <w:tc>
          <w:tcPr>
            <w:tcW w:type="dxa" w:w="1234"/>
          </w:tcPr>
          <w:p>
            <w:pPr/>
            <w:r/>
            <w:r>
              <w:rPr/>
            </w:r>
            <w:r>
              <w:rPr>
                <w:b w:val="0"/>
              </w:rPr>
              <w:t>20</w:t>
            </w:r>
          </w:p>
        </w:tc>
        <w:tc>
          <w:tcPr>
            <w:tcW w:type="dxa" w:w="1234"/>
          </w:tcPr>
          <w:p>
            <w:pPr/>
            <w:r/>
            <w:r>
              <w:rPr/>
            </w:r>
            <w:r>
              <w:rPr>
                <w:b w:val="0"/>
              </w:rPr>
              <w:t>25</w:t>
            </w:r>
          </w:p>
        </w:tc>
      </w:tr>
      <w:tr>
        <w:tc>
          <w:tcPr>
            <w:tcW w:type="dxa" w:w="1234"/>
          </w:tcPr>
          <w:p>
            <w:pPr/>
            <w:r/>
            <w:r>
              <w:rPr/>
            </w:r>
            <w:r>
              <w:rPr>
                <w:b w:val="0"/>
              </w:rPr>
              <w:t>16</w:t>
            </w:r>
          </w:p>
        </w:tc>
        <w:tc>
          <w:tcPr>
            <w:tcW w:type="dxa" w:w="1234"/>
          </w:tcPr>
          <w:p>
            <w:pPr/>
            <w:r/>
            <w:r>
              <w:rPr/>
            </w:r>
            <w:r>
              <w:rPr>
                <w:b w:val="0"/>
              </w:rPr>
              <w:t>SKS yang dapat diakui melalui RPL [IKT - baru]</w:t>
            </w:r>
          </w:p>
        </w:tc>
        <w:tc>
          <w:tcPr>
            <w:tcW w:type="dxa" w:w="1234"/>
          </w:tcPr>
          <w:p>
            <w:pPr/>
            <w:r/>
            <w:r>
              <w:rPr/>
            </w:r>
            <w:r>
              <w:rPr>
                <w:b w:val="0"/>
              </w:rPr>
              <w:t>% maksimal</w:t>
            </w:r>
          </w:p>
        </w:tc>
        <w:tc>
          <w:tcPr>
            <w:tcW w:type="dxa" w:w="1234"/>
          </w:tcPr>
          <w:p>
            <w:pPr/>
            <w:r/>
            <w:r>
              <w:rPr/>
            </w:r>
            <w:r>
              <w:rPr>
                <w:b w:val="0"/>
              </w:rPr>
              <w:t>maks 70 (R5)</w:t>
            </w:r>
          </w:p>
        </w:tc>
        <w:tc>
          <w:tcPr>
            <w:tcW w:type="dxa" w:w="1234"/>
          </w:tcPr>
          <w:p>
            <w:pPr/>
            <w:r/>
            <w:r>
              <w:rPr/>
            </w:r>
            <w:r>
              <w:rPr>
                <w:b w:val="0"/>
              </w:rPr>
              <w:t>50</w:t>
            </w:r>
          </w:p>
        </w:tc>
        <w:tc>
          <w:tcPr>
            <w:tcW w:type="dxa" w:w="1234"/>
          </w:tcPr>
          <w:p>
            <w:pPr/>
            <w:r/>
            <w:r>
              <w:rPr/>
            </w:r>
            <w:r>
              <w:rPr>
                <w:b w:val="0"/>
              </w:rPr>
              <w:t>60</w:t>
            </w:r>
          </w:p>
        </w:tc>
        <w:tc>
          <w:tcPr>
            <w:tcW w:type="dxa" w:w="1234"/>
          </w:tcPr>
          <w:p>
            <w:pPr/>
            <w:r/>
            <w:r>
              <w:rPr/>
            </w:r>
            <w:r>
              <w:rPr>
                <w:b w:val="0"/>
              </w:rPr>
              <w:t>70</w:t>
            </w:r>
          </w:p>
        </w:tc>
      </w:tr>
      <w:tr>
        <w:tc>
          <w:tcPr>
            <w:tcW w:type="dxa" w:w="1234"/>
          </w:tcPr>
          <w:p>
            <w:pPr/>
            <w:r/>
            <w:r>
              <w:rPr/>
            </w:r>
            <w:r>
              <w:rPr>
                <w:b w:val="0"/>
              </w:rPr>
              <w:t>17</w:t>
            </w:r>
          </w:p>
        </w:tc>
        <w:tc>
          <w:tcPr>
            <w:tcW w:type="dxa" w:w="1234"/>
          </w:tcPr>
          <w:p>
            <w:pPr/>
            <w:r/>
            <w:r>
              <w:rPr/>
            </w:r>
            <w:r>
              <w:rPr>
                <w:b w:val="0"/>
              </w:rPr>
              <w:t>Mahasiswa pemanfaat RPL per tahun [IKT - baru]</w:t>
            </w:r>
          </w:p>
        </w:tc>
        <w:tc>
          <w:tcPr>
            <w:tcW w:type="dxa" w:w="1234"/>
          </w:tcPr>
          <w:p>
            <w:pPr/>
            <w:r/>
            <w:r>
              <w:rPr/>
            </w:r>
            <w:r>
              <w:rPr>
                <w:b w:val="0"/>
              </w:rPr>
              <w:t>Jumlah orang</w:t>
            </w:r>
          </w:p>
        </w:tc>
        <w:tc>
          <w:tcPr>
            <w:tcW w:type="dxa" w:w="1234"/>
          </w:tcPr>
          <w:p>
            <w:pPr/>
            <w:r/>
            <w:r>
              <w:rPr/>
            </w:r>
            <w:r>
              <w:rPr>
                <w:b w:val="0"/>
              </w:rPr>
              <w:t>-</w:t>
            </w:r>
          </w:p>
        </w:tc>
        <w:tc>
          <w:tcPr>
            <w:tcW w:type="dxa" w:w="1234"/>
          </w:tcPr>
          <w:p>
            <w:pPr/>
            <w:r/>
            <w:r>
              <w:rPr/>
            </w:r>
            <w:r>
              <w:rPr>
                <w:b w:val="0"/>
              </w:rPr>
              <w:t>5</w:t>
            </w:r>
          </w:p>
        </w:tc>
        <w:tc>
          <w:tcPr>
            <w:tcW w:type="dxa" w:w="1234"/>
          </w:tcPr>
          <w:p>
            <w:pPr/>
            <w:r/>
            <w:r>
              <w:rPr/>
            </w:r>
            <w:r>
              <w:rPr>
                <w:b w:val="0"/>
              </w:rPr>
              <w:t>8</w:t>
            </w:r>
          </w:p>
        </w:tc>
        <w:tc>
          <w:tcPr>
            <w:tcW w:type="dxa" w:w="1234"/>
          </w:tcPr>
          <w:p>
            <w:pPr/>
            <w:r/>
            <w:r>
              <w:rPr/>
            </w:r>
            <w:r>
              <w:rPr>
                <w:b w:val="0"/>
              </w:rPr>
              <w:t>10</w:t>
            </w:r>
          </w:p>
        </w:tc>
      </w:tr>
    </w:tbl>
    <w:p>
      <w:pPr/>
    </w:p>
    <w:p>
      <w:pPr>
        <w:spacing w:before="320" w:after="120"/>
      </w:pPr>
      <w:r>
        <w:rPr>
          <w:b/>
          <w:sz w:val="28"/>
        </w:rPr>
        <w:t>STANDAR PENILAIAN PEMBELAJARAN</w:t>
      </w:r>
    </w:p>
    <w:p>
      <w:pPr>
        <w:spacing w:before="200" w:after="80"/>
      </w:pPr>
      <w:r>
        <w:rPr>
          <w:b/>
          <w:sz w:val="25"/>
        </w:rPr>
        <w:t>1. Daftar Istilah</w:t>
      </w:r>
    </w:p>
    <w:p>
      <w:pPr>
        <w:pStyle w:val="ListBullet"/>
        <w:spacing w:after="80"/>
      </w:pPr>
      <w:r>
        <w:rPr/>
        <w:t>Penilaian Edukatif adalah penilaian yang memotivasi mahasiswa memperbaiki perencanaan dan cara belajar serta meraih capaian pembelajaran secara maksimal.</w:t>
      </w:r>
    </w:p>
    <w:p>
      <w:pPr>
        <w:pStyle w:val="ListBullet"/>
        <w:spacing w:after="80"/>
      </w:pPr>
      <w:r>
        <w:rPr/>
        <w:t>Penilaian Objektif adalah penilaian berdasarkan standar yang disepakati antara dosen dan mahasiswa, bebas dari pengaruh subjektivitas penilai.</w:t>
      </w:r>
    </w:p>
    <w:p>
      <w:pPr>
        <w:pStyle w:val="ListBullet"/>
        <w:spacing w:after="80"/>
      </w:pPr>
      <w:r>
        <w:rPr/>
        <w:t>Penilaian Akuntabel adalah penilaian yang dilaksanakan sesuai prosedur dan kriteria jelas, disepakati pada awal perkuliahan, dan dipahami mahasiswa.</w:t>
      </w:r>
    </w:p>
    <w:p>
      <w:pPr>
        <w:pStyle w:val="ListBullet"/>
        <w:spacing w:after="80"/>
      </w:pPr>
      <w:r>
        <w:rPr/>
        <w:t>Penilaian Transparan adalah penilaian yang prosedur dan hasilnya dapat diakses oleh semua pemangku kepentingan.</w:t>
      </w:r>
    </w:p>
    <w:p>
      <w:pPr>
        <w:pStyle w:val="ListBullet"/>
        <w:spacing w:after="80"/>
      </w:pPr>
      <w:r>
        <w:rPr/>
        <w:t>Indeks Prestasi Semester (IPS) dan Indeks Prestasi Kumulatif (IPK) adalah ukuran keberhasilan studi mahasiswa yang dihitung berdasarkan bobot nilai dan satuan kredit semester yang ditempuh.</w:t>
      </w:r>
    </w:p>
    <w:p>
      <w:pPr>
        <w:pStyle w:val="ListBullet"/>
        <w:spacing w:after="80"/>
      </w:pPr>
      <w:r>
        <w:rPr/>
        <w:t>Surat Keterangan Pendamping Ijazah (SKPI) adalah dokumen yang memuat informasi capaian pembelajaran dan prestasi lulusan yang menyertai ijazah.</w:t>
      </w:r>
    </w:p>
    <w:p>
      <w:pPr>
        <w:pStyle w:val="ListBullet"/>
        <w:spacing w:after="80"/>
      </w:pPr>
      <w:r>
        <w:rPr/>
        <w:t>Kelulusan Tepat Waktu adalah persentase mahasiswa yang menyelesaikan studi sesuai dengan masa studi normal program studi.</w:t>
      </w:r>
    </w:p>
    <w:p>
      <w:pPr>
        <w:spacing w:before="200" w:after="80"/>
      </w:pPr>
      <w:r>
        <w:rPr>
          <w:b/>
          <w:sz w:val="25"/>
        </w:rPr>
        <w:t>2. Pihak Yang Bertanggung Jawab Untuk Memenuhi Standar</w:t>
      </w:r>
    </w:p>
    <w:p>
      <w:pPr>
        <w:pStyle w:val="ListBullet"/>
        <w:spacing w:after="80"/>
      </w:pPr>
      <w:r>
        <w:rPr/>
        <w:t>Wakil Rektor Bidang Akademik, dalam menetapkan kebijakan dan tenggat penilaian pembelajaran.</w:t>
      </w:r>
    </w:p>
    <w:p>
      <w:pPr>
        <w:pStyle w:val="ListBullet"/>
        <w:spacing w:after="80"/>
      </w:pPr>
      <w:r>
        <w:rPr/>
        <w:t>Dekan FTII dan Ketua Program Studi, dalam pemantauan pelaksanaan penilaian dan kelulusan tepat waktu.</w:t>
      </w:r>
    </w:p>
    <w:p>
      <w:pPr>
        <w:pStyle w:val="ListBullet"/>
        <w:spacing w:after="80"/>
      </w:pPr>
      <w:r>
        <w:rPr/>
        <w:t>Dosen, dalam penyusunan instrumen penilaian, pelaksanaan ujian, dan pengumuman hasil penilaian.</w:t>
      </w:r>
    </w:p>
    <w:p>
      <w:pPr>
        <w:pStyle w:val="ListBullet"/>
        <w:spacing w:after="80"/>
      </w:pPr>
      <w:r>
        <w:rPr/>
        <w:t>Dosen Pembimbing Akademik, dalam pemantauan kemajuan studi mahasiswa (IPS/IPK/SKS/tugas akhir).</w:t>
      </w:r>
    </w:p>
    <w:p>
      <w:pPr>
        <w:pStyle w:val="ListBullet"/>
        <w:spacing w:after="80"/>
      </w:pPr>
      <w:r>
        <w:rPr/>
        <w:t>Direktorat Administrasi Akademik (DAA), dalam penerbitan ijazah, transkrip akademik, dan SKPI.</w:t>
      </w:r>
    </w:p>
    <w:p>
      <w:pPr>
        <w:pStyle w:val="ListBullet"/>
        <w:spacing w:after="80"/>
      </w:pPr>
      <w:r>
        <w:rPr/>
        <w:t>Direktorat Jaminan Mutu (DJM)/Unit Jaminan Mutu (UJM), dalam audit sampel dokumentasi penilaian.</w:t>
      </w:r>
    </w:p>
    <w:p>
      <w:pPr>
        <w:spacing w:before="200" w:after="80"/>
      </w:pPr>
      <w:r>
        <w:rPr>
          <w:b/>
          <w:sz w:val="25"/>
        </w:rPr>
        <w:t>3. Pernyataan Isi Standar Penilaian Pembelajaran</w:t>
      </w:r>
    </w:p>
    <w:p>
      <w:pPr>
        <w:pStyle w:val="ListNumber"/>
        <w:spacing w:after="120"/>
      </w:pPr>
      <w:r>
        <w:rPr/>
        <w:t>Program Studi Sistem Informasi wajib menjamin pelaksanaan penilaian pembelajaran memenuhi prinsip edukatif, objektif, akuntabel, dan transparan, dengan kesesuaian teknik dan instrumen penilaian terhadap capaian pembelajaran (dilengkapi bukti, rubrik, dan/atau portofolio) pada paling sedikit 80% mata kuliah pada tahun pertama, meningkat menuju 100% pada akhir periode standar.</w:t>
      </w:r>
    </w:p>
    <w:p>
      <w:pPr>
        <w:pStyle w:val="ListNumber"/>
        <w:spacing w:after="120"/>
      </w:pPr>
      <w:r>
        <w:rPr/>
        <w:t>Dosen wajib mengumumkan hasil penilaian pembelajaran (IPS/IPK) paling lambat 1 (satu) minggu setelah pelaksanaan ujian, lebih ketat dari ketentuan sebelumnya (2 minggu), guna menyetarakan dengan praktik terbaik rujukan eksternal.</w:t>
      </w:r>
    </w:p>
    <w:p>
      <w:pPr>
        <w:pStyle w:val="ListNumber"/>
        <w:spacing w:after="120"/>
      </w:pPr>
      <w:r>
        <w:rPr/>
        <w:t>Program Studi Sistem Informasi wajib mendokumentasikan laporan hasil penilaian seluruh lulusan serta menerbitkan ijazah, transkrip akademik, dan Surat Keterangan Pendamping Ijazah (SKPI) bagi 100% lulusan.</w:t>
      </w:r>
    </w:p>
    <w:p>
      <w:pPr>
        <w:pStyle w:val="ListNumber"/>
        <w:spacing w:after="120"/>
      </w:pPr>
      <w:r>
        <w:rPr/>
        <w:t>Program studi wajib mencapai persentase kelulusan tepat waktu paling sedikit 60% pada tahun pertama penerapan standar dan meningkat menjadi paling sedikit 65% pada tahun ketiga, angka yang diselaraskan dan identik dengan target Kelulusan Tepat Waktu pada Standar Luaran Pendidikan versi Unggul Program Studi Sistem Informasi FTII UNISBANK.</w:t>
      </w:r>
    </w:p>
    <w:p>
      <w:pPr>
        <w:spacing w:before="200" w:after="80"/>
      </w:pPr>
      <w:r>
        <w:rPr>
          <w:b/>
          <w:sz w:val="25"/>
        </w:rPr>
        <w:t>4. Strategi Pencapaian Standar</w:t>
      </w:r>
    </w:p>
    <w:p>
      <w:pPr>
        <w:pStyle w:val="ListNumber"/>
        <w:spacing w:after="120"/>
      </w:pPr>
      <w:r>
        <w:rPr/>
        <w:t>Rektor menetapkan kebijakan, standar, pedoman, dan peraturan Standar Penilaian Pembelajaran sebagai bagian dari SPMI Universitas, dengan ambang indikator disetarakan pada skor tertinggi instrumen LAM Teknik/Panduan SPMI Program Sarjana (R1) dan kriteria Unggul LAM INFOKOM.</w:t>
      </w:r>
    </w:p>
    <w:p>
      <w:pPr>
        <w:pStyle w:val="ListNumber"/>
        <w:spacing w:after="120"/>
      </w:pPr>
      <w:r>
        <w:rPr/>
        <w:t>Dosen menyusun instrumen penilaian dilengkapi rubrik dan/atau portofolio untuk setiap mata kuliah guna mencapai target 100% mata kuliah dengan dokumentasi penilaian lengkap, dipantau melalui audit sampel oleh DJM/UJM.</w:t>
      </w:r>
    </w:p>
    <w:p>
      <w:pPr>
        <w:pStyle w:val="ListNumber"/>
        <w:spacing w:after="120"/>
      </w:pPr>
      <w:r>
        <w:rPr/>
        <w:t>Wakil Rektor Bidang Akademik mempercepat tenggat pengumuman hasil penilaian dari 2 minggu menjadi 1 minggu melalui digitalisasi input dan validasi nilai pada sistem informasi akademik.</w:t>
      </w:r>
    </w:p>
    <w:p>
      <w:pPr>
        <w:pStyle w:val="ListNumber"/>
        <w:spacing w:after="120"/>
      </w:pPr>
      <w:r>
        <w:rPr/>
        <w:t>Dekan bersama Ketua Program Studi memantau kemajuan studi mahasiswa (IPS, SKS, tugas akhir) setiap semester melalui Dosen Pembimbing Akademik untuk mencapai kelulusan tepat waktu paling sedikit 60% menuju 65%, angka yang identik dengan target pada Standar Luaran Pendidikan versi Unggul.</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2024/2025</w:t>
            </w:r>
          </w:p>
        </w:tc>
        <w:tc>
          <w:tcPr>
            <w:tcW w:type="dxa" w:w="1234"/>
          </w:tcPr>
          <w:p>
            <w:pPr/>
            <w:r/>
            <w:r>
              <w:rPr/>
            </w:r>
            <w:r>
              <w:rPr>
                <w:b/>
              </w:rPr>
              <w:t>Target 2025/2026</w:t>
            </w:r>
          </w:p>
        </w:tc>
        <w:tc>
          <w:tcPr>
            <w:tcW w:type="dxa" w:w="1234"/>
          </w:tcPr>
          <w:p>
            <w:pPr/>
            <w:r/>
            <w:r>
              <w:rPr/>
            </w:r>
            <w:r>
              <w:rPr>
                <w:b/>
              </w:rPr>
              <w:t>Target 2026/2027</w:t>
            </w:r>
          </w:p>
        </w:tc>
      </w:tr>
      <w:tr>
        <w:tc>
          <w:tcPr>
            <w:tcW w:type="dxa" w:w="1234"/>
          </w:tcPr>
          <w:p>
            <w:pPr/>
            <w:r/>
            <w:r>
              <w:rPr/>
            </w:r>
            <w:r>
              <w:rPr>
                <w:b w:val="0"/>
              </w:rPr>
              <w:t>18</w:t>
            </w:r>
          </w:p>
        </w:tc>
        <w:tc>
          <w:tcPr>
            <w:tcW w:type="dxa" w:w="1234"/>
          </w:tcPr>
          <w:p>
            <w:pPr/>
            <w:r/>
            <w:r>
              <w:rPr/>
            </w:r>
            <w:r>
              <w:rPr>
                <w:b w:val="0"/>
              </w:rPr>
              <w:t>Mata kuliah dengan dokumentasi penilaian lengkap (bukti/rubrik/portofolio) [IKU - baru]</w:t>
            </w:r>
          </w:p>
        </w:tc>
        <w:tc>
          <w:tcPr>
            <w:tcW w:type="dxa" w:w="1234"/>
          </w:tcPr>
          <w:p>
            <w:pPr/>
            <w:r/>
            <w:r>
              <w:rPr/>
            </w:r>
            <w:r>
              <w:rPr>
                <w:b w:val="0"/>
              </w:rPr>
              <w:t>%</w:t>
            </w:r>
          </w:p>
        </w:tc>
        <w:tc>
          <w:tcPr>
            <w:tcW w:type="dxa" w:w="1234"/>
          </w:tcPr>
          <w:p>
            <w:pPr/>
            <w:r/>
            <w:r>
              <w:rPr/>
            </w:r>
            <w:r>
              <w:rPr>
                <w:b w:val="0"/>
              </w:rPr>
              <w:t>75-100 (R1)</w:t>
            </w:r>
          </w:p>
        </w:tc>
        <w:tc>
          <w:tcPr>
            <w:tcW w:type="dxa" w:w="1234"/>
          </w:tcPr>
          <w:p>
            <w:pPr/>
            <w:r/>
            <w:r>
              <w:rPr/>
            </w:r>
            <w:r>
              <w:rPr>
                <w:b w:val="0"/>
              </w:rPr>
              <w:t>80</w:t>
            </w:r>
          </w:p>
        </w:tc>
        <w:tc>
          <w:tcPr>
            <w:tcW w:type="dxa" w:w="1234"/>
          </w:tcPr>
          <w:p>
            <w:pPr/>
            <w:r/>
            <w:r>
              <w:rPr/>
            </w:r>
            <w:r>
              <w:rPr>
                <w:b w:val="0"/>
              </w:rPr>
              <w:t>90</w:t>
            </w:r>
          </w:p>
        </w:tc>
        <w:tc>
          <w:tcPr>
            <w:tcW w:type="dxa" w:w="1234"/>
          </w:tcPr>
          <w:p>
            <w:pPr/>
            <w:r/>
            <w:r>
              <w:rPr/>
            </w:r>
            <w:r>
              <w:rPr>
                <w:b w:val="0"/>
              </w:rPr>
              <w:t>100</w:t>
            </w:r>
          </w:p>
        </w:tc>
      </w:tr>
      <w:tr>
        <w:tc>
          <w:tcPr>
            <w:tcW w:type="dxa" w:w="1234"/>
          </w:tcPr>
          <w:p>
            <w:pPr/>
            <w:r/>
            <w:r>
              <w:rPr/>
            </w:r>
            <w:r>
              <w:rPr>
                <w:b w:val="0"/>
              </w:rPr>
              <w:t>19</w:t>
            </w:r>
          </w:p>
        </w:tc>
        <w:tc>
          <w:tcPr>
            <w:tcW w:type="dxa" w:w="1234"/>
          </w:tcPr>
          <w:p>
            <w:pPr/>
            <w:r/>
            <w:r>
              <w:rPr/>
            </w:r>
            <w:r>
              <w:rPr>
                <w:b w:val="0"/>
              </w:rPr>
              <w:t>Tenggat pengumuman hasil penilaian [IKU]</w:t>
            </w:r>
          </w:p>
        </w:tc>
        <w:tc>
          <w:tcPr>
            <w:tcW w:type="dxa" w:w="1234"/>
          </w:tcPr>
          <w:p>
            <w:pPr/>
            <w:r/>
            <w:r>
              <w:rPr/>
            </w:r>
            <w:r>
              <w:rPr>
                <w:b w:val="0"/>
              </w:rPr>
              <w:t>Minggu (maks)</w:t>
            </w:r>
          </w:p>
        </w:tc>
        <w:tc>
          <w:tcPr>
            <w:tcW w:type="dxa" w:w="1234"/>
          </w:tcPr>
          <w:p>
            <w:pPr/>
            <w:r/>
            <w:r>
              <w:rPr/>
            </w:r>
            <w:r>
              <w:rPr>
                <w:b w:val="0"/>
              </w:rPr>
              <w:t>maks 1 (R5)</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20</w:t>
            </w:r>
          </w:p>
        </w:tc>
        <w:tc>
          <w:tcPr>
            <w:tcW w:type="dxa" w:w="1234"/>
          </w:tcPr>
          <w:p>
            <w:pPr/>
            <w:r/>
            <w:r>
              <w:rPr/>
            </w:r>
            <w:r>
              <w:rPr>
                <w:b w:val="0"/>
              </w:rPr>
              <w:t>Laporan hasil penilaian, ijazah, transkrip, SKPI seluruh lulusan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21</w:t>
            </w:r>
          </w:p>
        </w:tc>
        <w:tc>
          <w:tcPr>
            <w:tcW w:type="dxa" w:w="1234"/>
          </w:tcPr>
          <w:p>
            <w:pPr/>
            <w:r/>
            <w:r>
              <w:rPr/>
            </w:r>
            <w:r>
              <w:rPr>
                <w:b w:val="0"/>
              </w:rPr>
              <w:t>Persentase kelulusan tepat waktu (PTW) — disinkronkan dg Standar Luaran Pendidikan Unggul [IKU]</w:t>
            </w:r>
          </w:p>
        </w:tc>
        <w:tc>
          <w:tcPr>
            <w:tcW w:type="dxa" w:w="1234"/>
          </w:tcPr>
          <w:p>
            <w:pPr/>
            <w:r/>
            <w:r>
              <w:rPr/>
            </w:r>
            <w:r>
              <w:rPr>
                <w:b w:val="0"/>
              </w:rPr>
              <w:t>%</w:t>
            </w:r>
          </w:p>
        </w:tc>
        <w:tc>
          <w:tcPr>
            <w:tcW w:type="dxa" w:w="1234"/>
          </w:tcPr>
          <w:p>
            <w:pPr/>
            <w:r/>
            <w:r>
              <w:rPr/>
            </w:r>
            <w:r>
              <w:rPr>
                <w:b w:val="0"/>
              </w:rPr>
              <w:t>≥50 (R2/R5)</w:t>
            </w:r>
          </w:p>
        </w:tc>
        <w:tc>
          <w:tcPr>
            <w:tcW w:type="dxa" w:w="1234"/>
          </w:tcPr>
          <w:p>
            <w:pPr/>
            <w:r/>
            <w:r>
              <w:rPr/>
            </w:r>
            <w:r>
              <w:rPr>
                <w:b w:val="0"/>
              </w:rPr>
              <w:t>60</w:t>
            </w:r>
          </w:p>
        </w:tc>
        <w:tc>
          <w:tcPr>
            <w:tcW w:type="dxa" w:w="1234"/>
          </w:tcPr>
          <w:p>
            <w:pPr/>
            <w:r/>
            <w:r>
              <w:rPr/>
            </w:r>
            <w:r>
              <w:rPr>
                <w:b w:val="0"/>
              </w:rPr>
              <w:t>60</w:t>
            </w:r>
          </w:p>
        </w:tc>
        <w:tc>
          <w:tcPr>
            <w:tcW w:type="dxa" w:w="1234"/>
          </w:tcPr>
          <w:p>
            <w:pPr/>
            <w:r/>
            <w:r>
              <w:rPr/>
            </w:r>
            <w:r>
              <w:rPr>
                <w:b w:val="0"/>
              </w:rPr>
              <w:t>65</w:t>
            </w:r>
          </w:p>
        </w:tc>
      </w:tr>
    </w:tbl>
    <w:p>
      <w:pPr/>
    </w:p>
    <w:p>
      <w:pPr>
        <w:spacing w:before="320" w:after="120"/>
      </w:pPr>
      <w:r>
        <w:rPr>
          <w:b/>
          <w:sz w:val="28"/>
        </w:rPr>
        <w:t>STANDAR PENGELOLAAN PEMBELAJARAN</w:t>
      </w:r>
    </w:p>
    <w:p>
      <w:pPr>
        <w:spacing w:before="200" w:after="80"/>
      </w:pPr>
      <w:r>
        <w:rPr>
          <w:b/>
          <w:sz w:val="25"/>
        </w:rPr>
        <w:t>1. Daftar Istilah</w:t>
      </w:r>
    </w:p>
    <w:p>
      <w:pPr>
        <w:pStyle w:val="ListBullet"/>
        <w:spacing w:after="80"/>
      </w:pPr>
      <w:r>
        <w:rPr/>
        <w:t>Suasana Akademik adalah kondisi yang mendukung interaksi antara sivitas akademika yang sehat, ilmiah, inklusif, aman, nyaman, dan bebas dari kekerasan, diskriminasi, dan perundungan.</w:t>
      </w:r>
    </w:p>
    <w:p>
      <w:pPr>
        <w:pStyle w:val="ListBullet"/>
        <w:spacing w:after="80"/>
      </w:pPr>
      <w:r>
        <w:rPr/>
        <w:t>Satgas Pencegahan dan Penanganan Kekerasan Seksual (PPKS) adalah satuan tugas yang dibentuk untuk mencegah dan menangani kekerasan seksual di lingkungan perguruan tinggi sesuai Permendikbudristek Nomor 55 Tahun 2024.</w:t>
      </w:r>
    </w:p>
    <w:p>
      <w:pPr>
        <w:pStyle w:val="ListBullet"/>
        <w:spacing w:after="80"/>
      </w:pPr>
      <w:r>
        <w:rPr/>
        <w:t>Pangkalan Data Pendidikan Tinggi (PD DIKTI) adalah sistem informasi yang memuat data penyelenggaraan pendidikan tinggi seluruh perguruan tinggi di Indonesia, digunakan untuk pelaporan dan pemantauan resmi.</w:t>
      </w:r>
    </w:p>
    <w:p>
      <w:pPr>
        <w:pStyle w:val="ListBullet"/>
        <w:spacing w:after="80"/>
      </w:pPr>
      <w:r>
        <w:rPr/>
        <w:t>Monitoring dan Evaluasi (Monev) Pembelajaran adalah kegiatan pemantauan dan penilaian berkala terhadap pelaksanaan proses pembelajaran untuk memastikan kesesuaian dengan rencana dan standar mutu.</w:t>
      </w:r>
    </w:p>
    <w:p>
      <w:pPr>
        <w:pStyle w:val="ListBullet"/>
        <w:spacing w:after="80"/>
      </w:pPr>
      <w:r>
        <w:rPr/>
        <w:t>Siklus PPEPP adalah singkatan dari Penetapan, Pelaksanaan, Evaluasi, Pengendalian, dan Peningkatan standar, menjadi kerangka pengendalian mutu berkelanjutan dalam SPMI.</w:t>
      </w:r>
    </w:p>
    <w:p>
      <w:pPr>
        <w:spacing w:before="200" w:after="80"/>
      </w:pPr>
      <w:r>
        <w:rPr>
          <w:b/>
          <w:sz w:val="25"/>
        </w:rPr>
        <w:t>2. Pihak Yang Bertanggung Jawab Untuk Memenuhi Standar</w:t>
      </w:r>
    </w:p>
    <w:p>
      <w:pPr>
        <w:pStyle w:val="ListBullet"/>
        <w:spacing w:after="80"/>
      </w:pPr>
      <w:r>
        <w:rPr/>
        <w:t>Rektor, dalam mengoperasionalkan Satgas PPKS dan menetapkan kebijakan suasana akademik.</w:t>
      </w:r>
    </w:p>
    <w:p>
      <w:pPr>
        <w:pStyle w:val="ListBullet"/>
        <w:spacing w:after="80"/>
      </w:pPr>
      <w:r>
        <w:rPr/>
        <w:t>Direktorat Jaminan Mutu (DJM)/Unit Jaminan Mutu (UJM) Fakultas, dalam penyusunan pedoman suasana akademik dan pelaksanaan monitoring-evaluasi pembelajaran.</w:t>
      </w:r>
    </w:p>
    <w:p>
      <w:pPr>
        <w:pStyle w:val="ListBullet"/>
        <w:spacing w:after="80"/>
      </w:pPr>
      <w:r>
        <w:rPr/>
        <w:t>Fakultas dan Gugus Kendali Mutu (GKM) Program Studi, dalam pelaksanaan survei kepuasan mahasiswa dan kegiatan ilmiah terjadwal.</w:t>
      </w:r>
    </w:p>
    <w:p>
      <w:pPr>
        <w:pStyle w:val="ListBullet"/>
        <w:spacing w:after="80"/>
      </w:pPr>
      <w:r>
        <w:rPr/>
        <w:t>Direktorat Administrasi Akademik (DAA), dalam pelaporan Pangkalan Data Pendidikan Tinggi (PD DIKTI) setiap semester.</w:t>
      </w:r>
    </w:p>
    <w:p>
      <w:pPr>
        <w:pStyle w:val="ListBullet"/>
        <w:spacing w:after="80"/>
      </w:pPr>
      <w:r>
        <w:rPr/>
        <w:t>DPKPD bersama Direktorat Kemahasiswaan dan Pengembangan Bakat Kewirausahaan, dalam integrasi mata kuliah dan kegiatan kewirausahaan.</w:t>
      </w:r>
    </w:p>
    <w:p>
      <w:pPr>
        <w:spacing w:before="200" w:after="80"/>
      </w:pPr>
      <w:r>
        <w:rPr>
          <w:b/>
          <w:sz w:val="25"/>
        </w:rPr>
        <w:t>3. Pernyataan Isi Standar Pengelolaan Pembelajaran</w:t>
      </w:r>
    </w:p>
    <w:p>
      <w:pPr>
        <w:pStyle w:val="ListNumber"/>
        <w:spacing w:after="120"/>
      </w:pPr>
      <w:r>
        <w:rPr/>
        <w:t>Program Studi Sistem Informasi wajib memiliki kebijakan dan pedoman suasana akademik yang mendukung interaksi akademik sehat, ilmiah, inklusif, aman, nyaman, dan bebas dari kekerasan, diskriminasi, perundungan, serta kekerasan seksual.</w:t>
      </w:r>
    </w:p>
    <w:p>
      <w:pPr>
        <w:pStyle w:val="ListNumber"/>
        <w:spacing w:after="120"/>
      </w:pPr>
      <w:r>
        <w:rPr/>
        <w:t>Program Studi Sistem Informasi wajib menyelenggarakan kegiatan ilmiah terjadwal (kuliah umum, seminar, bedah buku, lokakarya) paling sedikit setiap 2 (dua) bulan pada tahun pertama, meningkat menjadi setiap bulan pada akhir periode standar.</w:t>
      </w:r>
    </w:p>
    <w:p>
      <w:pPr>
        <w:pStyle w:val="ListNumber"/>
        <w:spacing w:after="120"/>
      </w:pPr>
      <w:r>
        <w:rPr/>
        <w:t>Program Studi Sistem Informasi wajib melaksanakan survei kepuasan mahasiswa terhadap suasana akademik dan proses pendidikan dengan hasil kepuasan paling sedikit 75% pada tahun pertama, meningkat menjadi paling sedikit 85% pada akhir periode standar, dianalisis dan ditindaklanjuti paling sedikit 2 kali setiap semester.</w:t>
      </w:r>
    </w:p>
    <w:p>
      <w:pPr>
        <w:pStyle w:val="ListNumber"/>
        <w:spacing w:after="120"/>
      </w:pPr>
      <w:r>
        <w:rPr/>
        <w:t>Program Studi Sistem Informasi wajib menjamin tersedianya Satgas Pencegahan dan Penanganan Kekerasan Seksual (PPKS) sesuai Peraturan Menteri Pendidikan, Kebudayaan, Riset, dan Teknologi Nomor 55 Tahun 2024, sebagai nilai tambah kepatuhan regulasi nasional terkini dibanding seluruh dokumen rujukan.</w:t>
      </w:r>
    </w:p>
    <w:p>
      <w:pPr>
        <w:pStyle w:val="ListNumber"/>
        <w:spacing w:after="120"/>
      </w:pPr>
      <w:r>
        <w:rPr/>
        <w:t>Program Studi Sistem Informasi wajib memiliki pedoman penerimaan mahasiswa melalui jalur Recognition of Prior Learning (RPL) sesuai ketentuan yang berlaku.</w:t>
      </w:r>
    </w:p>
    <w:p>
      <w:pPr>
        <w:pStyle w:val="ListNumber"/>
        <w:spacing w:after="120"/>
      </w:pPr>
      <w:r>
        <w:rPr/>
        <w:t>Program Studi Sistem Informasi wajib melaksanakan pelaporan Pangkalan Data Pendidikan Tinggi (PD DIKTI) secara lengkap, benar, dan tepat waktu setiap semester.</w:t>
      </w:r>
    </w:p>
    <w:p>
      <w:pPr>
        <w:pStyle w:val="ListNumber"/>
        <w:spacing w:after="120"/>
      </w:pPr>
      <w:r>
        <w:rPr/>
        <w:t>Program Studi Sistem Informasi wajib melaksanakan monitoring dan evaluasi pembelajaran paling sedikit 2 (dua) kali setiap semester, dilakukan secara periodik, konsisten, ditindaklanjuti, dan didukung sistem monev daring.</w:t>
      </w:r>
    </w:p>
    <w:p>
      <w:pPr>
        <w:pStyle w:val="ListNumber"/>
        <w:spacing w:after="120"/>
      </w:pPr>
      <w:r>
        <w:rPr/>
        <w:t>Program Studi Sistem Informasi wajib mengintegrasikan mata kuliah kewirausahaan sebagai mata kuliah ciri khas UNISBANK dalam kurikulum, serta meningkatkan persentase program studi yang mengintegrasikan kegiatan kewirausahaan berskala nasional menjadi 100% dan berskala global/regional secara bertahap menuju paling sedikit 42%.</w:t>
      </w:r>
    </w:p>
    <w:p>
      <w:pPr>
        <w:pStyle w:val="ListNumber"/>
        <w:spacing w:after="120"/>
      </w:pPr>
      <w:r>
        <w:rPr/>
        <w:t>Program Studi Sistem Informasi wajib melakukan pengendalian dan peningkatan mutu proses pendidikan secara berkelanjutan berdasarkan hasil Monev, Audit Mutu Internal (AMI), survei kepuasan, capaian IKU/IKT, dan hasil tindak lanjut perbaikan dalam siklus Penetapan, Pelaksanaan, Evaluasi, Pengendalian, dan Peningkatan (PPEPP).</w:t>
      </w:r>
    </w:p>
    <w:p>
      <w:pPr>
        <w:spacing w:before="200" w:after="80"/>
      </w:pPr>
      <w:r>
        <w:rPr>
          <w:b/>
          <w:sz w:val="25"/>
        </w:rPr>
        <w:t>4. Strategi Pencapaian Standar</w:t>
      </w:r>
    </w:p>
    <w:p>
      <w:pPr>
        <w:pStyle w:val="ListNumber"/>
        <w:spacing w:after="120"/>
      </w:pPr>
      <w:r>
        <w:rPr/>
        <w:t>Rektor menetapkan kebijakan, standar, pedoman, dan peraturan Standar Pengelolaan Pembelajaran sebagai bagian dari SPMI Universitas, dengan ambang indikator disetarakan pada skor tertinggi instrumen LAM Teknik/Panduan SPMI Program Sarjana (R1) dan kriteria Unggul LAM INFOKOM.</w:t>
      </w:r>
    </w:p>
    <w:p>
      <w:pPr>
        <w:pStyle w:val="ListNumber"/>
        <w:spacing w:after="120"/>
      </w:pPr>
      <w:r>
        <w:rPr/>
        <w:t>DJM menyusun pedoman peningkatan suasana akademik yang menetapkan frekuensi kegiatan ilmiah terjadwal paling sedikit setiap 2 bulan pada tahap awal, meningkat menjadi setiap bulan; FTII dan program studi melaksanakan kegiatan tersebut secara konsisten.</w:t>
      </w:r>
    </w:p>
    <w:p>
      <w:pPr>
        <w:pStyle w:val="ListNumber"/>
        <w:spacing w:after="120"/>
      </w:pPr>
      <w:r>
        <w:rPr/>
        <w:t>FTII dan program studi melaksanakan survei kepuasan mahasiswa terhadap suasana akademik dan proses pendidikan paling sedikit 2 kali setiap semester, menganalisis hasilnya, dan menindaklanjuti untuk mencapai ambang kepuasan 75% menuju 85%.</w:t>
      </w:r>
    </w:p>
    <w:p>
      <w:pPr>
        <w:pStyle w:val="ListNumber"/>
        <w:spacing w:after="120"/>
      </w:pPr>
      <w:r>
        <w:rPr/>
        <w:t>Rektor menetapkan dan mengoperasionalkan Satgas Pencegahan dan Penanganan Kekerasan Seksual (PPKS) sesuai Permendikbudristek Nomor 55 Tahun 2024 sebagai bagian permanen tata kelola suasana akademik.</w:t>
      </w:r>
    </w:p>
    <w:p>
      <w:pPr>
        <w:pStyle w:val="ListNumber"/>
        <w:spacing w:after="120"/>
      </w:pPr>
      <w:r>
        <w:rPr/>
        <w:t>DAA bersama program studi melaksanakan pelaporan PD DIKTI secara lengkap, benar, dan tepat waktu setiap semester sebagai bentuk akuntabilitas pengelolaan proses pendidikan.</w:t>
      </w:r>
    </w:p>
    <w:p>
      <w:pPr>
        <w:pStyle w:val="ListNumber"/>
        <w:spacing w:after="120"/>
      </w:pPr>
      <w:r>
        <w:rPr/>
        <w:t>DJM dan UJM melaksanakan monitoring dan evaluasi pembelajaran paling sedikit 2 kali setiap semester secara periodik, konsisten, dan ditindaklanjuti melalui sistem monev daring.</w:t>
      </w:r>
    </w:p>
    <w:p>
      <w:pPr>
        <w:pStyle w:val="ListNumber"/>
        <w:spacing w:after="120"/>
      </w:pPr>
      <w:r>
        <w:rPr/>
        <w:t>DPKPD bersama Direktorat Kemahasiswaan dan Pengembangan Bakat Kewirausahaan mengintegrasikan mata kuliah kewirausahaan ciri khas UNISBANK serta memperluas cakupan kegiatan kewirausahaan berskala nasional dan global/regional.</w:t>
      </w:r>
    </w:p>
    <w:p>
      <w:pPr>
        <w:pStyle w:val="ListNumber"/>
        <w:spacing w:after="120"/>
      </w:pPr>
      <w:r>
        <w:rPr/>
        <w:t>DJM, UJM, dan GKM melaksanakan Audit Mutu Internal (AMI) secara berkala serta menyusun Rencana Tindak Lanjut (RTL) atas seluruh indikator Standar Proses Pendidikan sebagai bagian dari siklus PPEPP.</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2024/2025</w:t>
            </w:r>
          </w:p>
        </w:tc>
        <w:tc>
          <w:tcPr>
            <w:tcW w:type="dxa" w:w="1234"/>
          </w:tcPr>
          <w:p>
            <w:pPr/>
            <w:r/>
            <w:r>
              <w:rPr/>
            </w:r>
            <w:r>
              <w:rPr>
                <w:b/>
              </w:rPr>
              <w:t>Target 2025/2026</w:t>
            </w:r>
          </w:p>
        </w:tc>
        <w:tc>
          <w:tcPr>
            <w:tcW w:type="dxa" w:w="1234"/>
          </w:tcPr>
          <w:p>
            <w:pPr/>
            <w:r/>
            <w:r>
              <w:rPr/>
            </w:r>
            <w:r>
              <w:rPr>
                <w:b/>
              </w:rPr>
              <w:t>Target 2026/2027</w:t>
            </w:r>
          </w:p>
        </w:tc>
      </w:tr>
      <w:tr>
        <w:tc>
          <w:tcPr>
            <w:tcW w:type="dxa" w:w="1234"/>
          </w:tcPr>
          <w:p>
            <w:pPr/>
            <w:r/>
            <w:r>
              <w:rPr/>
            </w:r>
            <w:r>
              <w:rPr>
                <w:b w:val="0"/>
              </w:rPr>
              <w:t>22</w:t>
            </w:r>
          </w:p>
        </w:tc>
        <w:tc>
          <w:tcPr>
            <w:tcW w:type="dxa" w:w="1234"/>
          </w:tcPr>
          <w:p>
            <w:pPr/>
            <w:r/>
            <w:r>
              <w:rPr/>
            </w:r>
            <w:r>
              <w:rPr>
                <w:b w:val="0"/>
              </w:rPr>
              <w:t>Frekuensi kegiatan peningkatan suasana akademik [IKU - baru]</w:t>
            </w:r>
          </w:p>
        </w:tc>
        <w:tc>
          <w:tcPr>
            <w:tcW w:type="dxa" w:w="1234"/>
          </w:tcPr>
          <w:p>
            <w:pPr/>
            <w:r/>
            <w:r>
              <w:rPr/>
            </w:r>
            <w:r>
              <w:rPr>
                <w:b w:val="0"/>
              </w:rPr>
              <w:t>Kali/tahun (min)</w:t>
            </w:r>
          </w:p>
        </w:tc>
        <w:tc>
          <w:tcPr>
            <w:tcW w:type="dxa" w:w="1234"/>
          </w:tcPr>
          <w:p>
            <w:pPr/>
            <w:r/>
            <w:r>
              <w:rPr/>
            </w:r>
            <w:r>
              <w:rPr>
                <w:b w:val="0"/>
              </w:rPr>
              <w:t>bulanan (R1); 1-2 bulan (R2)</w:t>
            </w:r>
          </w:p>
        </w:tc>
        <w:tc>
          <w:tcPr>
            <w:tcW w:type="dxa" w:w="1234"/>
          </w:tcPr>
          <w:p>
            <w:pPr/>
            <w:r/>
            <w:r>
              <w:rPr/>
            </w:r>
            <w:r>
              <w:rPr>
                <w:b w:val="0"/>
              </w:rPr>
              <w:t>6</w:t>
            </w:r>
          </w:p>
        </w:tc>
        <w:tc>
          <w:tcPr>
            <w:tcW w:type="dxa" w:w="1234"/>
          </w:tcPr>
          <w:p>
            <w:pPr/>
            <w:r/>
            <w:r>
              <w:rPr/>
            </w:r>
            <w:r>
              <w:rPr>
                <w:b w:val="0"/>
              </w:rPr>
              <w:t>6</w:t>
            </w:r>
          </w:p>
        </w:tc>
        <w:tc>
          <w:tcPr>
            <w:tcW w:type="dxa" w:w="1234"/>
          </w:tcPr>
          <w:p>
            <w:pPr/>
            <w:r/>
            <w:r>
              <w:rPr/>
            </w:r>
            <w:r>
              <w:rPr>
                <w:b w:val="0"/>
              </w:rPr>
              <w:t>12</w:t>
            </w:r>
          </w:p>
        </w:tc>
      </w:tr>
      <w:tr>
        <w:tc>
          <w:tcPr>
            <w:tcW w:type="dxa" w:w="1234"/>
          </w:tcPr>
          <w:p>
            <w:pPr/>
            <w:r/>
            <w:r>
              <w:rPr/>
            </w:r>
            <w:r>
              <w:rPr>
                <w:b w:val="0"/>
              </w:rPr>
              <w:t>23</w:t>
            </w:r>
          </w:p>
        </w:tc>
        <w:tc>
          <w:tcPr>
            <w:tcW w:type="dxa" w:w="1234"/>
          </w:tcPr>
          <w:p>
            <w:pPr/>
            <w:r/>
            <w:r>
              <w:rPr/>
            </w:r>
            <w:r>
              <w:rPr>
                <w:b w:val="0"/>
              </w:rPr>
              <w:t>Kepuasan mahasiswa terhadap suasana akademik/proses pendidikan [IKU - baru]</w:t>
            </w:r>
          </w:p>
        </w:tc>
        <w:tc>
          <w:tcPr>
            <w:tcW w:type="dxa" w:w="1234"/>
          </w:tcPr>
          <w:p>
            <w:pPr/>
            <w:r/>
            <w:r>
              <w:rPr/>
            </w:r>
            <w:r>
              <w:rPr>
                <w:b w:val="0"/>
              </w:rPr>
              <w:t>%</w:t>
            </w:r>
          </w:p>
        </w:tc>
        <w:tc>
          <w:tcPr>
            <w:tcW w:type="dxa" w:w="1234"/>
          </w:tcPr>
          <w:p>
            <w:pPr/>
            <w:r/>
            <w:r>
              <w:rPr/>
            </w:r>
            <w:r>
              <w:rPr>
                <w:b w:val="0"/>
              </w:rPr>
              <w:t>&gt;75 (R1)</w:t>
            </w:r>
          </w:p>
        </w:tc>
        <w:tc>
          <w:tcPr>
            <w:tcW w:type="dxa" w:w="1234"/>
          </w:tcPr>
          <w:p>
            <w:pPr/>
            <w:r/>
            <w:r>
              <w:rPr/>
            </w:r>
            <w:r>
              <w:rPr>
                <w:b w:val="0"/>
              </w:rPr>
              <w:t>75</w:t>
            </w:r>
          </w:p>
        </w:tc>
        <w:tc>
          <w:tcPr>
            <w:tcW w:type="dxa" w:w="1234"/>
          </w:tcPr>
          <w:p>
            <w:pPr/>
            <w:r/>
            <w:r>
              <w:rPr/>
            </w:r>
            <w:r>
              <w:rPr>
                <w:b w:val="0"/>
              </w:rPr>
              <w:t>80</w:t>
            </w:r>
          </w:p>
        </w:tc>
        <w:tc>
          <w:tcPr>
            <w:tcW w:type="dxa" w:w="1234"/>
          </w:tcPr>
          <w:p>
            <w:pPr/>
            <w:r/>
            <w:r>
              <w:rPr/>
            </w:r>
            <w:r>
              <w:rPr>
                <w:b w:val="0"/>
              </w:rPr>
              <w:t>85</w:t>
            </w:r>
          </w:p>
        </w:tc>
      </w:tr>
      <w:tr>
        <w:tc>
          <w:tcPr>
            <w:tcW w:type="dxa" w:w="1234"/>
          </w:tcPr>
          <w:p>
            <w:pPr/>
            <w:r/>
            <w:r>
              <w:rPr/>
            </w:r>
            <w:r>
              <w:rPr>
                <w:b w:val="0"/>
              </w:rPr>
              <w:t>24</w:t>
            </w:r>
          </w:p>
        </w:tc>
        <w:tc>
          <w:tcPr>
            <w:tcW w:type="dxa" w:w="1234"/>
          </w:tcPr>
          <w:p>
            <w:pPr/>
            <w:r/>
            <w:r>
              <w:rPr/>
            </w:r>
            <w:r>
              <w:rPr>
                <w:b w:val="0"/>
              </w:rPr>
              <w:t>Ketersediaan Satgas PPKS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25</w:t>
            </w:r>
          </w:p>
        </w:tc>
        <w:tc>
          <w:tcPr>
            <w:tcW w:type="dxa" w:w="1234"/>
          </w:tcPr>
          <w:p>
            <w:pPr/>
            <w:r/>
            <w:r>
              <w:rPr/>
            </w:r>
            <w:r>
              <w:rPr>
                <w:b w:val="0"/>
              </w:rPr>
              <w:t>Ketersediaan pedoman penerimaan mahasiswa jalur RPL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26</w:t>
            </w:r>
          </w:p>
        </w:tc>
        <w:tc>
          <w:tcPr>
            <w:tcW w:type="dxa" w:w="1234"/>
          </w:tcPr>
          <w:p>
            <w:pPr/>
            <w:r/>
            <w:r>
              <w:rPr/>
            </w:r>
            <w:r>
              <w:rPr>
                <w:b w:val="0"/>
              </w:rPr>
              <w:t>Pelaporan PD DIKTI lengkap dan tepat waktu setiap semester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27</w:t>
            </w:r>
          </w:p>
        </w:tc>
        <w:tc>
          <w:tcPr>
            <w:tcW w:type="dxa" w:w="1234"/>
          </w:tcPr>
          <w:p>
            <w:pPr/>
            <w:r/>
            <w:r>
              <w:rPr/>
            </w:r>
            <w:r>
              <w:rPr>
                <w:b w:val="0"/>
              </w:rPr>
              <w:t>Frekuensi monitoring dan evaluasi pembelajaran [IKU]</w:t>
            </w:r>
          </w:p>
        </w:tc>
        <w:tc>
          <w:tcPr>
            <w:tcW w:type="dxa" w:w="1234"/>
          </w:tcPr>
          <w:p>
            <w:pPr/>
            <w:r/>
            <w:r>
              <w:rPr/>
            </w:r>
            <w:r>
              <w:rPr>
                <w:b w:val="0"/>
              </w:rPr>
              <w:t>Kali/semester (min)</w:t>
            </w:r>
          </w:p>
        </w:tc>
        <w:tc>
          <w:tcPr>
            <w:tcW w:type="dxa" w:w="1234"/>
          </w:tcPr>
          <w:p>
            <w:pPr/>
            <w:r/>
            <w:r>
              <w:rPr/>
            </w:r>
            <w:r>
              <w:rPr>
                <w:b w:val="0"/>
              </w:rPr>
              <w:t>periodik &amp; daring (R1)</w:t>
            </w:r>
          </w:p>
        </w:tc>
        <w:tc>
          <w:tcPr>
            <w:tcW w:type="dxa" w:w="1234"/>
          </w:tcPr>
          <w:p>
            <w:pPr/>
            <w:r/>
            <w:r>
              <w:rPr/>
            </w:r>
            <w:r>
              <w:rPr>
                <w:b w:val="0"/>
              </w:rPr>
              <w:t>2</w:t>
            </w:r>
          </w:p>
        </w:tc>
        <w:tc>
          <w:tcPr>
            <w:tcW w:type="dxa" w:w="1234"/>
          </w:tcPr>
          <w:p>
            <w:pPr/>
            <w:r/>
            <w:r>
              <w:rPr/>
            </w:r>
            <w:r>
              <w:rPr>
                <w:b w:val="0"/>
              </w:rPr>
              <w:t>2</w:t>
            </w:r>
          </w:p>
        </w:tc>
        <w:tc>
          <w:tcPr>
            <w:tcW w:type="dxa" w:w="1234"/>
          </w:tcPr>
          <w:p>
            <w:pPr/>
            <w:r/>
            <w:r>
              <w:rPr/>
            </w:r>
            <w:r>
              <w:rPr>
                <w:b w:val="0"/>
              </w:rPr>
              <w:t>2</w:t>
            </w:r>
          </w:p>
        </w:tc>
      </w:tr>
      <w:tr>
        <w:tc>
          <w:tcPr>
            <w:tcW w:type="dxa" w:w="1234"/>
          </w:tcPr>
          <w:p>
            <w:pPr/>
            <w:r/>
            <w:r>
              <w:rPr/>
            </w:r>
            <w:r>
              <w:rPr>
                <w:b w:val="0"/>
              </w:rPr>
              <w:t>28</w:t>
            </w:r>
          </w:p>
        </w:tc>
        <w:tc>
          <w:tcPr>
            <w:tcW w:type="dxa" w:w="1234"/>
          </w:tcPr>
          <w:p>
            <w:pPr/>
            <w:r/>
            <w:r>
              <w:rPr/>
            </w:r>
            <w:r>
              <w:rPr>
                <w:b w:val="0"/>
              </w:rPr>
              <w:t>Ketersediaan mata kuliah kewirausahaan ciri khas UNISBANK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29</w:t>
            </w:r>
          </w:p>
        </w:tc>
        <w:tc>
          <w:tcPr>
            <w:tcW w:type="dxa" w:w="1234"/>
          </w:tcPr>
          <w:p>
            <w:pPr/>
            <w:r/>
            <w:r>
              <w:rPr/>
            </w:r>
            <w:r>
              <w:rPr>
                <w:b w:val="0"/>
              </w:rPr>
              <w:t>Prodi mengintegrasikan kegiatan kewirausahaan skala nasional [IKT]</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30</w:t>
            </w:r>
          </w:p>
        </w:tc>
        <w:tc>
          <w:tcPr>
            <w:tcW w:type="dxa" w:w="1234"/>
          </w:tcPr>
          <w:p>
            <w:pPr/>
            <w:r/>
            <w:r>
              <w:rPr/>
            </w:r>
            <w:r>
              <w:rPr>
                <w:b w:val="0"/>
              </w:rPr>
              <w:t>Prodi mengintegrasikan kegiatan kewirausahaan skala global/regional [IKT]</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30</w:t>
            </w:r>
          </w:p>
        </w:tc>
        <w:tc>
          <w:tcPr>
            <w:tcW w:type="dxa" w:w="1234"/>
          </w:tcPr>
          <w:p>
            <w:pPr/>
            <w:r/>
            <w:r>
              <w:rPr/>
            </w:r>
            <w:r>
              <w:rPr>
                <w:b w:val="0"/>
              </w:rPr>
              <w:t>36</w:t>
            </w:r>
          </w:p>
        </w:tc>
        <w:tc>
          <w:tcPr>
            <w:tcW w:type="dxa" w:w="1234"/>
          </w:tcPr>
          <w:p>
            <w:pPr/>
            <w:r/>
            <w:r>
              <w:rPr/>
            </w:r>
            <w:r>
              <w:rPr>
                <w:b w:val="0"/>
              </w:rPr>
              <w:t>42</w:t>
            </w:r>
          </w:p>
        </w:tc>
      </w:tr>
    </w:tbl>
    <w:p>
      <w:pPr/>
    </w:p>
    <w:p>
      <w:pPr>
        <w:spacing w:before="320" w:after="120"/>
      </w:pPr>
      <w:r>
        <w:rPr>
          <w:b/>
          <w:sz w:val="28"/>
        </w:rPr>
        <w:t>DOKUMEN TERKAIT PELAKSANAAN STANDAR</w:t>
      </w:r>
    </w:p>
    <w:p>
      <w:pPr>
        <w:pStyle w:val="ListNumber"/>
        <w:spacing w:after="120"/>
      </w:pPr>
      <w:r>
        <w:rPr/>
        <w:t>Dokumen kebijakan dan penetapan Standar Proses Pendidikan Program Studi Sistem Informasi (Surat Keputusan Rektor).</w:t>
      </w:r>
    </w:p>
    <w:p>
      <w:pPr>
        <w:pStyle w:val="ListNumber"/>
        <w:spacing w:after="120"/>
      </w:pPr>
      <w:r>
        <w:rPr/>
        <w:t>Dokumen kurikulum berbasis OBE tiap program studi yang memuat implementasi PBL, CBL, micro-credential, dan RPL.</w:t>
      </w:r>
    </w:p>
    <w:p>
      <w:pPr>
        <w:pStyle w:val="ListNumber"/>
        <w:spacing w:after="120"/>
      </w:pPr>
      <w:r>
        <w:rPr/>
        <w:t>Rencana Pembelajaran Semester (RPS) terdigitalisasi untuk setiap mata kuliah beserta dokumen pemetaan CPL-CPMK-RPS dan bukti peninjauan berkala.</w:t>
      </w:r>
    </w:p>
    <w:p>
      <w:pPr>
        <w:pStyle w:val="ListNumber"/>
        <w:spacing w:after="120"/>
      </w:pPr>
      <w:r>
        <w:rPr/>
        <w:t>Rekap perhitungan dan pemantauan Persentase Jam Pembelajaran Praktik (PJP) per program studi.</w:t>
      </w:r>
    </w:p>
    <w:p>
      <w:pPr>
        <w:pStyle w:val="ListNumber"/>
        <w:spacing w:after="120"/>
      </w:pPr>
      <w:r>
        <w:rPr/>
        <w:t>Daftar dan bukti mata kuliah terintegrasi hasil penelitian dan PkM (terpisah per kategori).</w:t>
      </w:r>
    </w:p>
    <w:p>
      <w:pPr>
        <w:pStyle w:val="ListNumber"/>
        <w:spacing w:after="120"/>
      </w:pPr>
      <w:r>
        <w:rPr/>
        <w:t>Presensi perkuliahan, Berita Acara Perkuliahan (BAP), dan rekap keterlaksanaan pembelajaran 16 kali pertemuan.</w:t>
      </w:r>
    </w:p>
    <w:p>
      <w:pPr>
        <w:pStyle w:val="ListNumber"/>
        <w:spacing w:after="120"/>
      </w:pPr>
      <w:r>
        <w:rPr/>
        <w:t>Dokumen kebijakan MBKM beserta 6 dokumen perencanaan (kebijakan, kurikulum MBKM, MoU mitra, panduan dosen, panduan mahasiswa, panduan admin/monev) dan bukti pemenuhan 4 aspek monev pelaksanaan.</w:t>
      </w:r>
    </w:p>
    <w:p>
      <w:pPr>
        <w:pStyle w:val="ListNumber"/>
        <w:spacing w:after="120"/>
      </w:pPr>
      <w:r>
        <w:rPr/>
        <w:t>Dokumen rekognisi MBKM, laporan program magang mahasiswa di DUDIKA, dan laporan tugas akhir mahasiswa program sarjana.</w:t>
      </w:r>
    </w:p>
    <w:p>
      <w:pPr>
        <w:pStyle w:val="ListNumber"/>
        <w:spacing w:after="120"/>
      </w:pPr>
      <w:r>
        <w:rPr/>
        <w:t>Pedoman dan data pemanfaatan Recognition of Prior Learning (RPL): persentase SKS diakui dan jumlah mahasiswa pemanfaat per tahun.</w:t>
      </w:r>
    </w:p>
    <w:p>
      <w:pPr>
        <w:pStyle w:val="ListNumber"/>
        <w:spacing w:after="120"/>
      </w:pPr>
      <w:r>
        <w:rPr/>
        <w:t>Instrumen dan bukti penilaian pembelajaran (rubrik, portofolio) serta rekap ketepatan tenggat pengumuman nilai.</w:t>
      </w:r>
    </w:p>
    <w:p>
      <w:pPr>
        <w:pStyle w:val="ListNumber"/>
        <w:spacing w:after="120"/>
      </w:pPr>
      <w:r>
        <w:rPr/>
        <w:t>Laporan hasil penilaian seluruh lulusan, SK Kelulusan, ijazah, transkrip akademik, dan Surat Keterangan Pendamping Ijazah (SKPI).</w:t>
      </w:r>
    </w:p>
    <w:p>
      <w:pPr>
        <w:pStyle w:val="ListNumber"/>
        <w:spacing w:after="120"/>
      </w:pPr>
      <w:r>
        <w:rPr/>
        <w:t>Rekap kelulusan tepat waktu dan lama studi per angkatan.</w:t>
      </w:r>
    </w:p>
    <w:p>
      <w:pPr>
        <w:pStyle w:val="ListNumber"/>
        <w:spacing w:after="120"/>
      </w:pPr>
      <w:r>
        <w:rPr/>
        <w:t>Dokumen kebijakan dan pedoman suasana akademik, jadwal dan dokumentasi kegiatan ilmiah terjadwal, serta laporan survei kepuasan mahasiswa.</w:t>
      </w:r>
    </w:p>
    <w:p>
      <w:pPr>
        <w:pStyle w:val="ListNumber"/>
        <w:spacing w:after="120"/>
      </w:pPr>
      <w:r>
        <w:rPr/>
        <w:t>SK Rektor tentang Satgas Pencegahan dan Penanganan Kekerasan Seksual (PPKS).</w:t>
      </w:r>
    </w:p>
    <w:p>
      <w:pPr>
        <w:pStyle w:val="ListNumber"/>
        <w:spacing w:after="120"/>
      </w:pPr>
      <w:r>
        <w:rPr/>
        <w:t>Bukti pelaporan Pangkalan Data Pendidikan Tinggi (PD DIKTI) setiap semester.</w:t>
      </w:r>
    </w:p>
    <w:p>
      <w:pPr>
        <w:pStyle w:val="ListNumber"/>
        <w:spacing w:after="120"/>
      </w:pPr>
      <w:r>
        <w:rPr/>
        <w:t>Laporan Monitoring dan Evaluasi (Monev) Pembelajaran, Laporan Audit Mutu Internal (AMI), dan Rencana Tindak Lanjut (RTL).</w:t>
      </w:r>
    </w:p>
    <w:p>
      <w:pPr>
        <w:pStyle w:val="ListNumber"/>
        <w:spacing w:after="120"/>
      </w:pPr>
      <w:r>
        <w:rPr/>
        <w:t>Dokumen kurikulum yang memuat mata kuliah kewirausahaan ciri khas UNISBANK serta dokumen kegiatan kewirausahaan berskala nasional dan global/regional.</w:t>
      </w:r>
    </w:p>
    <w:p>
      <w:pPr>
        <w:pStyle w:val="ListNumber"/>
        <w:spacing w:after="120"/>
      </w:pPr>
      <w:r>
        <w:rPr/>
        <w:t>Dokumen root-cause analysis dan SWOT tahunan atas ketiga sub-standar Proses Pendidikan, sesuai template Standar Penjaminan Mutu Internal FTII, beserta berita acara pembahasannya dalam RTM.</w:t>
      </w:r>
    </w:p>
    <w:p>
      <w:pPr>
        <w:spacing w:before="320" w:after="120"/>
      </w:pPr>
      <w:r>
        <w:rPr>
          <w:b/>
          <w:sz w:val="28"/>
        </w:rPr>
        <w:t>REFERENSI</w:t>
      </w:r>
    </w:p>
    <w:p>
      <w:pPr>
        <w:pStyle w:val="ListNumber"/>
        <w:spacing w:after="120"/>
      </w:pPr>
      <w:r>
        <w:rPr/>
        <w:t>Peraturan Menteri Pendidikan, Kebudayaan, Riset, dan Teknologi Republik Indonesia Nomor 53 Tahun 2023 tentang Standar Nasional Pendidikan Tinggi, pasal 40-45 (Standar Proses Pendidikan).</w:t>
      </w:r>
    </w:p>
    <w:p>
      <w:pPr>
        <w:pStyle w:val="ListNumber"/>
        <w:spacing w:after="120"/>
      </w:pPr>
      <w:r>
        <w:rPr/>
        <w:t>Peraturan Menteri Pendidikan, Kebudayaan, Riset, dan Teknologi Republik Indonesia Nomor 55 Tahun 2024 tentang Pencegahan dan Penanganan Kekerasan Seksual di Lingkungan Perguruan Tinggi.</w:t>
      </w:r>
    </w:p>
    <w:p>
      <w:pPr>
        <w:pStyle w:val="ListNumber"/>
        <w:spacing w:after="120"/>
      </w:pPr>
      <w:r>
        <w:rPr/>
        <w:t>Matriks Penilaian Laporan Evaluasi Diri dan Laporan Kinerja Program Studi LAM Teknik (APS-AV 2025 1.0).</w:t>
      </w:r>
    </w:p>
    <w:p>
      <w:pPr>
        <w:pStyle w:val="ListNumber"/>
        <w:spacing w:after="120"/>
      </w:pPr>
      <w:r>
        <w:rPr/>
        <w:t>Panduan Sistem Penjaminan Mutu Internal Program Sarjana (R1).</w:t>
      </w:r>
    </w:p>
    <w:p>
      <w:pPr>
        <w:pStyle w:val="ListNumber"/>
        <w:spacing w:after="120"/>
      </w:pPr>
      <w:r>
        <w:rPr/>
        <w:t>Kriteria Terakreditasi Unggul 2.1 LAM INFOKOM.</w:t>
      </w:r>
    </w:p>
    <w:p>
      <w:pPr>
        <w:pStyle w:val="ListNumber"/>
        <w:spacing w:after="120"/>
      </w:pPr>
      <w:r>
        <w:rPr/>
        <w:t>Instrumen Akreditasi Program Studi 2.1 LAM INFOKOM (Peraturan LAM-INFOKOM Nomor 11/PERLAM/MA/LAM-INFOKOM/X/2025, November 2025).</w:t>
      </w:r>
    </w:p>
    <w:p>
      <w:pPr>
        <w:pStyle w:val="ListNumber"/>
        <w:spacing w:after="120"/>
      </w:pPr>
      <w:r>
        <w:rPr/>
        <w:t>Standar Luaran Pendidikan Unggul Program Studi Sistem Informasi FTII UNISBANK (standarluaranpendidikanunggul.docx) — rujukan penyelarasan target Kelulusan Tepat Waktu.</w:t>
      </w:r>
    </w:p>
    <w:p>
      <w:pPr>
        <w:pStyle w:val="ListNumber"/>
        <w:spacing w:after="120"/>
      </w:pPr>
      <w:r>
        <w:rPr/>
        <w:t>Standar Penjaminan Mutu Internal Unggul Program Studi Sistem Informasi FTII UNISBANK — rujukan ketentuan lintas-standar root-cause analysis dan SWOT tahunan.</w:t>
      </w:r>
    </w:p>
    <w:p>
      <w:pPr>
        <w:pStyle w:val="ListNumber"/>
        <w:spacing w:after="120"/>
      </w:pPr>
      <w:r>
        <w:rPr/>
        <w:t>Matriks Pemetaan Standar Proses Pendidikan terhadap Permendikbudristek Nomor 53 Tahun 2023, Instrumen Akreditasi LAM INFOKOM, dan Matriks Penilaian LAM Teknik APS-AV 2025.</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