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UNIVERSITAS STIKUBANK (UNISBANK) SEMARANG</w:t>
      </w:r>
    </w:p>
    <w:p>
      <w:r>
        <w:t>STANDAR PROSES PENDIDIKAN</w:t>
      </w:r>
    </w:p>
    <w:p>
      <w:r>
        <w:t>PROGRAM STUDI TEKNIK INDUSTRI</w:t>
      </w:r>
    </w:p>
    <w:p>
      <w:r>
        <w:t>FAKULTAS TEKNOLOGI INFORMASI DAN INDUSTRI (FTII)</w:t>
      </w:r>
    </w:p>
    <w:p>
      <w:r>
        <w:t>Disusun untuk memenuhi ambang kriteria status Terakreditasi Unggul LAM TEKNIK (APS-AV 2025 1.0), sebagai turunan Standar Standar Proses Pendidikan FTII versi Unggul, dengan indikator standar yang terukur dan disesuaikan pada skala Program Studi Teknik Industri</w:t>
      </w:r>
    </w:p>
    <w:p>
      <w:pPr/>
      <w:r>
        <w:rPr>
          <w:b/>
        </w:rPr>
        <w:t>1. VISI KEILMUAN PROGRAM STUDI TEKNIK INDUSTRI</w:t>
      </w:r>
    </w:p>
    <w:p>
      <w:r>
        <w:t>Program Studi Teknik Industri FTII UNISBANK mengemban visi keilmuan: "Menjadi rujukan pengembangan rekayasa dan manajemen sistem industri yang unggul dalam optimasi manufaktur cerdas (smart manufacturing), rantai pasok (supply chain), dan ergonomi berbasis penerapan teknologi informasi", diturunkan dari diferensiasi misi FTII dan ditetapkan pada Standar VMTS Program Studi Teknik Industri (Standar_VMTS_ProgramStudi_TeknikIndustri.docx).</w:t>
      </w:r>
    </w:p>
    <w:p>
      <w:pPr/>
      <w:r>
        <w:rPr>
          <w:b/>
        </w:rPr>
        <w:t>2. RASIONAL</w:t>
      </w:r>
    </w:p>
    <w:p>
      <w:r>
        <w:t>Standar Proses Pendidikan disusun mengacu pada Permendikbudristek Nomor 53 Tahun 2023 Pasal 40-45, diturunkan dari Standar Proses Pendidikan FTII versi Unggul (standarprosespendidikanunggul.docx), dipersempit pada skala Program Studi Teknik Industri, sebagai perwujudan pencapaian visi keilmuan program studi bidang smart manufacturing, rantai pasok, dan ergonomi.</w:t>
      </w:r>
    </w:p>
    <w:p>
      <w:r>
        <w:t>Standar ini dirancang agar setiap indikator kinerjanya memenuhi atau melampaui ambang skor tertinggi (skor 4) pada Matriks Penilaian LAM Teknik APS-AV 2025 1.0 Kriteria C.3 (Pendidikan, Penelitian, dan PkM), memastikan proses pembelajaran dilaksanakan sistematis, terencana, terdokumentasi, terukur, dan berorientasi CPL melalui kurikulum berbasis Outcome-Based Education (OBE).</w:t>
      </w:r>
    </w:p>
    <w:p>
      <w:pPr/>
      <w:r>
        <w:rPr>
          <w:b/>
        </w:rPr>
        <w:t>Ketentuan Lintas Sub-Standar: Root-Cause Analysis dan SWOT Tahunan</w:t>
      </w:r>
    </w:p>
    <w:p>
      <w:r>
        <w:t>*Sesuai kewajiban lintas-standar Standar Penjaminan Mutu Internal FTII versi Unggul, Program Studi Teknik Industri wajib melaksanakan root-cause analysis dan SWOT tahunan atas ketercapaian seluruh sub-standar Proses Pendidikan (Proses Pembelajaran, Penilaian Pembelajaran, Pengelolaan Pembelajaran) paling sedikit 1 kali setiap tahun akademik, dibahas dalam RTM tingkat program studi.</w:t>
      </w:r>
    </w:p>
    <w:p>
      <w:pPr/>
      <w:r>
        <w:rPr>
          <w:b/>
        </w:rPr>
        <w:t>STANDAR PROSES PEMBELAJARAN</w:t>
      </w:r>
    </w:p>
    <w:p>
      <w:r>
        <w:t>1. Daftar Istilah</w:t>
      </w:r>
    </w:p>
    <w:p>
      <w:pPr>
        <w:pStyle w:val="ListBullet"/>
      </w:pPr>
      <w:r>
        <w:t>Outcome-Based Education (OBE) adalah pendekatan pendidikan berorientasi capaian pembelajaran, menjadi dasar perancangan kurikulum, proses pembelajaran, dan asesmen.</w:t>
      </w:r>
    </w:p>
    <w:p>
      <w:pPr>
        <w:pStyle w:val="ListBullet"/>
      </w:pPr>
      <w:r>
        <w:t>Project-Based Learning (PBL) dan Case-Based Learning (CBL) adalah metode pembelajaran berbasis proyek/studi kasus perancangan dan optimasi sistem industri nyata.</w:t>
      </w:r>
    </w:p>
    <w:p>
      <w:pPr>
        <w:pStyle w:val="ListBullet"/>
      </w:pPr>
      <w:r>
        <w:t>Merdeka Belajar Kampus Merdeka (MBKM) adalah kebijakan hak belajar tiga semester di luar program studi, mencakup magang industri manufaktur/logistik, proyek, dan pertukaran mahasiswa.</w:t>
      </w:r>
    </w:p>
    <w:p>
      <w:pPr>
        <w:pStyle w:val="ListBullet"/>
      </w:pPr>
      <w:r>
        <w:t>Recognition of Prior Learning (RPL) adalah pengakuan capaian pembelajaran dari pendidikan nonformal/informal/pengalaman kerja industri.</w:t>
      </w:r>
    </w:p>
    <w:p>
      <w:pPr>
        <w:pStyle w:val="ListBullet"/>
      </w:pPr>
      <w:r>
        <w:t>Persentase Jam Pembelajaran Praktik (PJP) adalah rasio jam praktikum laboratorium/bengkel, praktik lapangan pabrik, dan kegiatan MBKM terhadap total jam pembelajaran.</w:t>
      </w:r>
    </w:p>
    <w:p>
      <w:r>
        <w:t>2. Pihak Yang Bertanggung Jawab Untuk Memenuhi Standar</w:t>
      </w:r>
    </w:p>
    <w:p>
      <w:pPr>
        <w:pStyle w:val="ListBullet"/>
      </w:pPr>
      <w:r>
        <w:t>Ketua Program Studi Teknik Industri, dalam pelaksanaan dan verifikasi kesesuaian proses pembelajaran dengan standar.</w:t>
      </w:r>
    </w:p>
    <w:p>
      <w:pPr>
        <w:pStyle w:val="ListBullet"/>
      </w:pPr>
      <w:r>
        <w:t>Dosen dan Dosen Pembimbing MBKM/Magang, dalam pelaksanaan RPS, pembelajaran inovatif, dan pembimbingan magang industri/tugas akhir.</w:t>
      </w:r>
    </w:p>
    <w:p>
      <w:pPr>
        <w:pStyle w:val="ListBullet"/>
      </w:pPr>
      <w:r>
        <w:t>Unit Pengelola MBKM, dalam pengelolaan kebijakan dan monitoring-evaluasi pelaksanaan MBKM.</w:t>
      </w:r>
    </w:p>
    <w:p>
      <w:pPr>
        <w:pStyle w:val="ListBullet"/>
      </w:pPr>
      <w:r>
        <w:t>Gugus Kendali Mutu (GKM) Program Studi, dalam verifikasi kelengkapan RPS dan capaian indikator proses pembelajaran.</w:t>
      </w:r>
    </w:p>
    <w:p>
      <w:r>
        <w:t>3. Pernyataan Isi Standar Proses Pembelajaran</w:t>
      </w:r>
    </w:p>
    <w:p>
      <w:pPr>
        <w:pStyle w:val="ListNumber"/>
      </w:pPr>
      <w:r>
        <w:t>Program Studi Teknik Industri wajib memiliki dokumen kurikulum berbasis OBE yang mengintegrasikan Project-Based Learning (PBL), Case-Based Learning (CBL) berbasis kasus manufaktur/rantai pasok, kewirausahaan, dan Recognition of Prior Learning (RPL), selaras CPL dan KKNI Level 6.</w:t>
      </w:r>
    </w:p>
    <w:p>
      <w:pPr>
        <w:pStyle w:val="ListNumber"/>
      </w:pPr>
      <w:r>
        <w:t>Setiap dosen wajib menyusun dan memperbarui RPS untuk setiap mata kuliah yang diampu, mencakup target capaian, tahapan asesmen, bukti peninjauan berkala, dan aksesibilitas bagi mahasiswa.</w:t>
      </w:r>
    </w:p>
    <w:p>
      <w:pPr>
        <w:pStyle w:val="ListNumber"/>
      </w:pPr>
      <w:r>
        <w:t>Program Studi Teknik Industri wajib memastikan paling sedikit 90% mata kuliah memiliki RPS lengkap pada tahun pertama penerapan standar, meningkat menjadi 100% pada tahun berikutnya, ditinjau paling lambat setiap 2 tahun.</w:t>
      </w:r>
    </w:p>
    <w:p>
      <w:pPr>
        <w:pStyle w:val="ListNumber"/>
      </w:pPr>
      <w:r>
        <w:t>Program Studi Teknik Industri wajib menjamin kesesuaian RPS dengan CPL berbasis KKNI Level 6 untuk 100% mata kuliah, dibuktikan dokumen pemetaan CPL-CPMK-RPS.</w:t>
      </w:r>
    </w:p>
    <w:p>
      <w:pPr>
        <w:pStyle w:val="ListNumber"/>
      </w:pPr>
      <w:r>
        <w:t>Program Studi Teknik Industri wajib menyelenggarakan kegiatan MBKM (magang di industri manufaktur/logistik, proyek kemanusiaan, riset) dengan monitoring dan evaluasi terdokumentasi, diikuti paling sedikit 20% mahasiswa per angkatan pada tahun ketiga.</w:t>
      </w:r>
    </w:p>
    <w:p>
      <w:pPr>
        <w:pStyle w:val="ListNumber"/>
      </w:pPr>
      <w:r>
        <w:t>*Program Studi Teknik Industri wajib menjaga Persentase Jam Pembelajaran Praktik (PJP) laboratorium/bengkel dan lapangan industri paling sedikit 30% dari total jam pembelajaran.</w:t>
      </w:r>
    </w:p>
    <w:p>
      <w:pPr>
        <w:pStyle w:val="ListNumber"/>
      </w:pPr>
      <w:r>
        <w:t>*Program Studi Teknik Industri wajib menerapkan kebijakan Recognition of Prior Learning (RPL) bagi mahasiswa dengan pengalaman kerja industri relevan, dibuktikan pedoman dan data pemanfaatan.</w:t>
      </w:r>
    </w:p>
    <w:p>
      <w:r>
        <w:t>4. Strategi Pencapaian Standar</w:t>
      </w:r>
    </w:p>
    <w:p>
      <w:pPr>
        <w:pStyle w:val="ListNumber"/>
      </w:pPr>
      <w:r>
        <w:t>Ketua Program Studi menyusun dan memutakhirkan kurikulum OBE terintegrasi PBL/CBL berbasis kasus manufaktur/rantai pasok.</w:t>
      </w:r>
    </w:p>
    <w:p>
      <w:pPr>
        <w:pStyle w:val="ListNumber"/>
      </w:pPr>
      <w:r>
        <w:t>Unit Pengelola MBKM memfasilitasi kerja sama magang dengan industri manufaktur/logistik dan memonitor capaian mahasiswa peserta MBKM.</w:t>
      </w:r>
    </w:p>
    <w:p>
      <w:pPr>
        <w:pStyle w:val="ListNumber"/>
      </w:pPr>
      <w:r>
        <w:t>GKM Program Studi memverifikasi kelengkapan dan kesesuaian RPS dengan CPL setiap awal semester.</w:t>
      </w:r>
    </w:p>
    <w:p>
      <w:pPr>
        <w:pStyle w:val="ListNumber"/>
      </w:pPr>
      <w:r>
        <w:t>Ketua Program Studi menetapkan dan memantau target PJP laboratorium/bengkel dan lapangan industri paling sedikit 30%.</w:t>
      </w:r>
    </w:p>
    <w:p>
      <w:pPr>
        <w:pStyle w:val="ListNumber"/>
      </w:pPr>
      <w:r>
        <w:t>Ketua Program Studi menyusun pedoman RPL bagi mahasiswa dengan pengalaman kerja industri.</w:t>
      </w:r>
    </w:p>
    <w:p>
      <w: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 /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Ketersediaan kurikulum OBE terintegrasi PBL/CBL</w:t>
            </w:r>
          </w:p>
        </w:tc>
        <w:tc>
          <w:tcPr>
            <w:tcW w:type="dxa" w:w="1728"/>
          </w:tcPr>
          <w:p>
            <w:r>
              <w:t>Tersedia</w:t>
            </w:r>
          </w:p>
        </w:tc>
        <w:tc>
          <w:tcPr>
            <w:tcW w:type="dxa" w:w="1728"/>
          </w:tcPr>
          <w:p>
            <w:r>
              <w:t>Tersedia</w:t>
            </w:r>
          </w:p>
        </w:tc>
        <w:tc>
          <w:tcPr>
            <w:tcW w:type="dxa" w:w="1728"/>
          </w:tcPr>
          <w:p>
            <w:r>
              <w:t>Tersedia</w:t>
            </w:r>
          </w:p>
        </w:tc>
      </w:tr>
      <w:tr>
        <w:tc>
          <w:tcPr>
            <w:tcW w:type="dxa" w:w="1728"/>
          </w:tcPr>
          <w:p>
            <w:r>
              <w:t>2</w:t>
            </w:r>
          </w:p>
        </w:tc>
        <w:tc>
          <w:tcPr>
            <w:tcW w:type="dxa" w:w="1728"/>
          </w:tcPr>
          <w:p>
            <w:r>
              <w:t>Kelengkapan RPS sesuai 4 aspek wajib</w:t>
            </w:r>
          </w:p>
        </w:tc>
        <w:tc>
          <w:tcPr>
            <w:tcW w:type="dxa" w:w="1728"/>
          </w:tcPr>
          <w:p>
            <w:r>
              <w:t>90%</w:t>
            </w:r>
          </w:p>
        </w:tc>
        <w:tc>
          <w:tcPr>
            <w:tcW w:type="dxa" w:w="1728"/>
          </w:tcPr>
          <w:p>
            <w:r>
              <w:t>95%</w:t>
            </w:r>
          </w:p>
        </w:tc>
        <w:tc>
          <w:tcPr>
            <w:tcW w:type="dxa" w:w="1728"/>
          </w:tcPr>
          <w:p>
            <w:r>
              <w:t>100%</w:t>
            </w:r>
          </w:p>
        </w:tc>
      </w:tr>
      <w:tr>
        <w:tc>
          <w:tcPr>
            <w:tcW w:type="dxa" w:w="1728"/>
          </w:tcPr>
          <w:p>
            <w:r>
              <w:t>3</w:t>
            </w:r>
          </w:p>
        </w:tc>
        <w:tc>
          <w:tcPr>
            <w:tcW w:type="dxa" w:w="1728"/>
          </w:tcPr>
          <w:p>
            <w:r>
              <w:t>Kesesuaian RPS dengan CPL (pemetaan CPL-CPMK-RPS)</w:t>
            </w:r>
          </w:p>
        </w:tc>
        <w:tc>
          <w:tcPr>
            <w:tcW w:type="dxa" w:w="1728"/>
          </w:tcPr>
          <w:p>
            <w:r>
              <w:t>95%</w:t>
            </w:r>
          </w:p>
        </w:tc>
        <w:tc>
          <w:tcPr>
            <w:tcW w:type="dxa" w:w="1728"/>
          </w:tcPr>
          <w:p>
            <w:r>
              <w:t>98%</w:t>
            </w:r>
          </w:p>
        </w:tc>
        <w:tc>
          <w:tcPr>
            <w:tcW w:type="dxa" w:w="1728"/>
          </w:tcPr>
          <w:p>
            <w:r>
              <w:t>100%</w:t>
            </w:r>
          </w:p>
        </w:tc>
      </w:tr>
      <w:tr>
        <w:tc>
          <w:tcPr>
            <w:tcW w:type="dxa" w:w="1728"/>
          </w:tcPr>
          <w:p>
            <w:r>
              <w:t>4</w:t>
            </w:r>
          </w:p>
        </w:tc>
        <w:tc>
          <w:tcPr>
            <w:tcW w:type="dxa" w:w="1728"/>
          </w:tcPr>
          <w:p>
            <w:r>
              <w:t>Persentase mahasiswa mengikuti kegiatan MBKM per angkatan</w:t>
            </w:r>
          </w:p>
        </w:tc>
        <w:tc>
          <w:tcPr>
            <w:tcW w:type="dxa" w:w="1728"/>
          </w:tcPr>
          <w:p>
            <w:r>
              <w:t>10%</w:t>
            </w:r>
          </w:p>
        </w:tc>
        <w:tc>
          <w:tcPr>
            <w:tcW w:type="dxa" w:w="1728"/>
          </w:tcPr>
          <w:p>
            <w:r>
              <w:t>15%</w:t>
            </w:r>
          </w:p>
        </w:tc>
        <w:tc>
          <w:tcPr>
            <w:tcW w:type="dxa" w:w="1728"/>
          </w:tcPr>
          <w:p>
            <w:r>
              <w:t>20%</w:t>
            </w:r>
          </w:p>
        </w:tc>
      </w:tr>
      <w:tr>
        <w:tc>
          <w:tcPr>
            <w:tcW w:type="dxa" w:w="1728"/>
          </w:tcPr>
          <w:p>
            <w:r>
              <w:t>*5</w:t>
            </w:r>
          </w:p>
        </w:tc>
        <w:tc>
          <w:tcPr>
            <w:tcW w:type="dxa" w:w="1728"/>
          </w:tcPr>
          <w:p>
            <w:r>
              <w:t>Persentase Jam Pembelajaran Praktik (PJP) laboratorium &amp; lapangan</w:t>
            </w:r>
          </w:p>
        </w:tc>
        <w:tc>
          <w:tcPr>
            <w:tcW w:type="dxa" w:w="1728"/>
          </w:tcPr>
          <w:p>
            <w:r>
              <w:t>25%</w:t>
            </w:r>
          </w:p>
        </w:tc>
        <w:tc>
          <w:tcPr>
            <w:tcW w:type="dxa" w:w="1728"/>
          </w:tcPr>
          <w:p>
            <w:r>
              <w:t>28%</w:t>
            </w:r>
          </w:p>
        </w:tc>
        <w:tc>
          <w:tcPr>
            <w:tcW w:type="dxa" w:w="1728"/>
          </w:tcPr>
          <w:p>
            <w:r>
              <w:t>30%</w:t>
            </w:r>
          </w:p>
        </w:tc>
      </w:tr>
      <w:tr>
        <w:tc>
          <w:tcPr>
            <w:tcW w:type="dxa" w:w="1728"/>
          </w:tcPr>
          <w:p>
            <w:r>
              <w:t>*6</w:t>
            </w:r>
          </w:p>
        </w:tc>
        <w:tc>
          <w:tcPr>
            <w:tcW w:type="dxa" w:w="1728"/>
          </w:tcPr>
          <w:p>
            <w:r>
              <w:t>Ketersediaan dan pemanfaatan pedoman RPL</w:t>
            </w:r>
          </w:p>
        </w:tc>
        <w:tc>
          <w:tcPr>
            <w:tcW w:type="dxa" w:w="1728"/>
          </w:tcPr>
          <w:p>
            <w:r>
              <w:t>Tersedia</w:t>
            </w:r>
          </w:p>
        </w:tc>
        <w:tc>
          <w:tcPr>
            <w:tcW w:type="dxa" w:w="1728"/>
          </w:tcPr>
          <w:p>
            <w:r>
              <w:t>Tersedia</w:t>
            </w:r>
          </w:p>
        </w:tc>
        <w:tc>
          <w:tcPr>
            <w:tcW w:type="dxa" w:w="1728"/>
          </w:tcPr>
          <w:p>
            <w:r>
              <w:t>Termanfaatkan</w:t>
            </w:r>
          </w:p>
        </w:tc>
      </w:tr>
      <w:tr>
        <w:tc>
          <w:tcPr>
            <w:tcW w:type="dxa" w:w="1728"/>
          </w:tcPr>
          <w:p>
            <w:r>
              <w:t>*7</w:t>
            </w:r>
          </w:p>
        </w:tc>
        <w:tc>
          <w:tcPr>
            <w:tcW w:type="dxa" w:w="1728"/>
          </w:tcPr>
          <w:p>
            <w:r>
              <w:t>Pelaksanaan root-cause analysis &amp; SWOT tahunan</w:t>
            </w:r>
          </w:p>
        </w:tc>
        <w:tc>
          <w:tcPr>
            <w:tcW w:type="dxa" w:w="1728"/>
          </w:tcPr>
          <w:p>
            <w:r>
              <w:t>Terlaksana</w:t>
            </w:r>
          </w:p>
        </w:tc>
        <w:tc>
          <w:tcPr>
            <w:tcW w:type="dxa" w:w="1728"/>
          </w:tcPr>
          <w:p>
            <w:r>
              <w:t>Terlaksana</w:t>
            </w:r>
          </w:p>
        </w:tc>
        <w:tc>
          <w:tcPr>
            <w:tcW w:type="dxa" w:w="1728"/>
          </w:tcPr>
          <w:p>
            <w:r>
              <w:t>Terlaksana</w:t>
            </w:r>
          </w:p>
        </w:tc>
      </w:tr>
    </w:tbl>
    <w:p>
      <w:pPr/>
      <w:r>
        <w:rPr>
          <w:b/>
        </w:rPr>
        <w:t>STANDAR PENILAIAN PEMBELAJARAN</w:t>
      </w:r>
    </w:p>
    <w:p>
      <w:r>
        <w:t>1. Daftar Istilah</w:t>
      </w:r>
    </w:p>
    <w:p>
      <w:pPr>
        <w:pStyle w:val="ListBullet"/>
      </w:pPr>
      <w:r>
        <w:t>Prinsip Penilaian mencakup edukatif, otentik, objektif, akuntabel, dan transparan.</w:t>
      </w:r>
    </w:p>
    <w:p>
      <w:pPr>
        <w:pStyle w:val="ListBullet"/>
      </w:pPr>
      <w:r>
        <w:t>Teknik dan Instrumen Penilaian mencakup observasi, partisipasi, unjuk kerja, tes tertulis, tes lisan, dan angket, dilengkapi rubrik/portofolio/karya desain sistem industri.</w:t>
      </w:r>
    </w:p>
    <w:p>
      <w:pPr>
        <w:pStyle w:val="ListBullet"/>
      </w:pPr>
      <w:r>
        <w:t>Mekanisme Keberatan Nilai adalah prosedur formal bagi mahasiswa mengajukan keberatan atas hasil penilaian, ditindaklanjuti dosen pengampu dan Ketua Program Studi.</w:t>
      </w:r>
    </w:p>
    <w:p>
      <w:r>
        <w:t>2. Pihak Yang Bertanggung Jawab Untuk Memenuhi Standar</w:t>
      </w:r>
    </w:p>
    <w:p>
      <w:pPr>
        <w:pStyle w:val="ListBullet"/>
      </w:pPr>
      <w:r>
        <w:t>Ketua Program Studi Teknik Industri, dalam pemantauan pelaksanaan penilaian sesuai RPS.</w:t>
      </w:r>
    </w:p>
    <w:p>
      <w:pPr>
        <w:pStyle w:val="ListBullet"/>
      </w:pPr>
      <w:r>
        <w:t>Dosen pengampu mata kuliah, dalam pelaksanaan penilaian objektif, akuntabel, dan transparan.</w:t>
      </w:r>
    </w:p>
    <w:p>
      <w:pPr>
        <w:pStyle w:val="ListBullet"/>
      </w:pPr>
      <w:r>
        <w:t>Gugus Kendali Mutu (GKM) Program Studi, dalam verifikasi kesesuaian instrumen dan dokumentasi penilaian.</w:t>
      </w:r>
    </w:p>
    <w:p>
      <w:r>
        <w:t>3. Pernyataan Isi Standar Penilaian Pembelajaran</w:t>
      </w:r>
    </w:p>
    <w:p>
      <w:pPr>
        <w:pStyle w:val="ListNumber"/>
      </w:pPr>
      <w:r>
        <w:t>Program Studi Teknik Industri wajib menerapkan prinsip penilaian edukatif, otentik, objektif, akuntabel, dan transparan pada setiap mata kuliah, dibuktikan rubrik penilaian dalam RPS.</w:t>
      </w:r>
    </w:p>
    <w:p>
      <w:pPr>
        <w:pStyle w:val="ListNumber"/>
      </w:pPr>
      <w:r>
        <w:t>Dosen wajib menggunakan teknik dan instrumen penilaian yang relevan dengan capaian pembelajaran, termasuk unjuk kerja/portofolio pada mata kuliah praktikum laboratorium dan proyek perancangan sistem industri.</w:t>
      </w:r>
    </w:p>
    <w:p>
      <w:pPr>
        <w:pStyle w:val="ListNumber"/>
      </w:pPr>
      <w:r>
        <w:t>Program Studi Teknik Industri wajib memiliki dan menerapkan mekanisme keberatan nilai yang terdokumentasi dan dapat diakses mahasiswa.</w:t>
      </w:r>
    </w:p>
    <w:p>
      <w:pPr>
        <w:pStyle w:val="ListNumber"/>
      </w:pPr>
      <w:r>
        <w:t>Program Studi Teknik Industri wajib mengumumkan hasil penilaian akhir semester paling lambat 14 hari kalender setelah pelaksanaan ujian.</w:t>
      </w:r>
    </w:p>
    <w:p>
      <w:pPr>
        <w:pStyle w:val="ListNumber"/>
      </w:pPr>
      <w:r>
        <w:t>Program Studi Teknik Industri wajib mendokumentasikan hasil penilaian (nilai, rubrik, bukti kerja mahasiswa) untuk 100% mata kuliah setiap semester sebagai bahan evaluasi capaian CPL.</w:t>
      </w:r>
    </w:p>
    <w:p>
      <w:r>
        <w:t>4. Strategi Pencapaian Standar</w:t>
      </w:r>
    </w:p>
    <w:p>
      <w:pPr>
        <w:pStyle w:val="ListNumber"/>
      </w:pPr>
      <w:r>
        <w:t>Ketua Program Studi menetapkan pedoman penilaian yang memuat prinsip edukatif-otentik-objektif-akuntabel-transparan, disosialisasikan kepada dosen.</w:t>
      </w:r>
    </w:p>
    <w:p>
      <w:pPr>
        <w:pStyle w:val="ListNumber"/>
      </w:pPr>
      <w:r>
        <w:t>Dosen menyusun rubrik penilaian unjuk kerja/portofolio untuk mata kuliah praktikum dan proyek perancangan, direview GKM sebelum semester berjalan.</w:t>
      </w:r>
    </w:p>
    <w:p>
      <w:pPr>
        <w:pStyle w:val="ListNumber"/>
      </w:pPr>
      <w:r>
        <w:t>Ketua Program Studi menetapkan dan mensosialisasikan mekanisme keberatan nilai kepada mahasiswa setiap awal semester.</w:t>
      </w:r>
    </w:p>
    <w:p>
      <w:pPr>
        <w:pStyle w:val="ListNumber"/>
      </w:pPr>
      <w:r>
        <w:t>Ketua Program Studi memantau tenggat pengumuman nilai 14 hari melalui sistem informasi akademik.</w:t>
      </w:r>
    </w:p>
    <w:p>
      <w: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 /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Penerapan prinsip penilaian pada seluruh mata kuliah (rubrik dalam RPS)</w:t>
            </w:r>
          </w:p>
        </w:tc>
        <w:tc>
          <w:tcPr>
            <w:tcW w:type="dxa" w:w="1728"/>
          </w:tcPr>
          <w:p>
            <w:r>
              <w:t>90%</w:t>
            </w:r>
          </w:p>
        </w:tc>
        <w:tc>
          <w:tcPr>
            <w:tcW w:type="dxa" w:w="1728"/>
          </w:tcPr>
          <w:p>
            <w:r>
              <w:t>95%</w:t>
            </w:r>
          </w:p>
        </w:tc>
        <w:tc>
          <w:tcPr>
            <w:tcW w:type="dxa" w:w="1728"/>
          </w:tcPr>
          <w:p>
            <w:r>
              <w:t>100%</w:t>
            </w:r>
          </w:p>
        </w:tc>
      </w:tr>
      <w:tr>
        <w:tc>
          <w:tcPr>
            <w:tcW w:type="dxa" w:w="1728"/>
          </w:tcPr>
          <w:p>
            <w:r>
              <w:t>2</w:t>
            </w:r>
          </w:p>
        </w:tc>
        <w:tc>
          <w:tcPr>
            <w:tcW w:type="dxa" w:w="1728"/>
          </w:tcPr>
          <w:p>
            <w:r>
              <w:t>Mata kuliah praktikum/proyek menggunakan instrumen unjuk kerja/portofolio</w:t>
            </w:r>
          </w:p>
        </w:tc>
        <w:tc>
          <w:tcPr>
            <w:tcW w:type="dxa" w:w="1728"/>
          </w:tcPr>
          <w:p>
            <w:r>
              <w:t>85%</w:t>
            </w:r>
          </w:p>
        </w:tc>
        <w:tc>
          <w:tcPr>
            <w:tcW w:type="dxa" w:w="1728"/>
          </w:tcPr>
          <w:p>
            <w:r>
              <w:t>95%</w:t>
            </w:r>
          </w:p>
        </w:tc>
        <w:tc>
          <w:tcPr>
            <w:tcW w:type="dxa" w:w="1728"/>
          </w:tcPr>
          <w:p>
            <w:r>
              <w:t>100%</w:t>
            </w:r>
          </w:p>
        </w:tc>
      </w:tr>
      <w:tr>
        <w:tc>
          <w:tcPr>
            <w:tcW w:type="dxa" w:w="1728"/>
          </w:tcPr>
          <w:p>
            <w:r>
              <w:t>3</w:t>
            </w:r>
          </w:p>
        </w:tc>
        <w:tc>
          <w:tcPr>
            <w:tcW w:type="dxa" w:w="1728"/>
          </w:tcPr>
          <w:p>
            <w:r>
              <w:t>Ketersediaan mekanisme keberatan nilai terdokumentasi</w:t>
            </w:r>
          </w:p>
        </w:tc>
        <w:tc>
          <w:tcPr>
            <w:tcW w:type="dxa" w:w="1728"/>
          </w:tcPr>
          <w:p>
            <w:r>
              <w:t>Tersedia</w:t>
            </w:r>
          </w:p>
        </w:tc>
        <w:tc>
          <w:tcPr>
            <w:tcW w:type="dxa" w:w="1728"/>
          </w:tcPr>
          <w:p>
            <w:r>
              <w:t>Tersedia</w:t>
            </w:r>
          </w:p>
        </w:tc>
        <w:tc>
          <w:tcPr>
            <w:tcW w:type="dxa" w:w="1728"/>
          </w:tcPr>
          <w:p>
            <w:r>
              <w:t>Tersedia</w:t>
            </w:r>
          </w:p>
        </w:tc>
      </w:tr>
      <w:tr>
        <w:tc>
          <w:tcPr>
            <w:tcW w:type="dxa" w:w="1728"/>
          </w:tcPr>
          <w:p>
            <w:r>
              <w:t>4</w:t>
            </w:r>
          </w:p>
        </w:tc>
        <w:tc>
          <w:tcPr>
            <w:tcW w:type="dxa" w:w="1728"/>
          </w:tcPr>
          <w:p>
            <w:r>
              <w:t>Ketepatan tenggat pengumuman nilai (≤14 hari)</w:t>
            </w:r>
          </w:p>
        </w:tc>
        <w:tc>
          <w:tcPr>
            <w:tcW w:type="dxa" w:w="1728"/>
          </w:tcPr>
          <w:p>
            <w:r>
              <w:t>85%</w:t>
            </w:r>
          </w:p>
        </w:tc>
        <w:tc>
          <w:tcPr>
            <w:tcW w:type="dxa" w:w="1728"/>
          </w:tcPr>
          <w:p>
            <w:r>
              <w:t>92%</w:t>
            </w:r>
          </w:p>
        </w:tc>
        <w:tc>
          <w:tcPr>
            <w:tcW w:type="dxa" w:w="1728"/>
          </w:tcPr>
          <w:p>
            <w:r>
              <w:t>100%</w:t>
            </w:r>
          </w:p>
        </w:tc>
      </w:tr>
      <w:tr>
        <w:tc>
          <w:tcPr>
            <w:tcW w:type="dxa" w:w="1728"/>
          </w:tcPr>
          <w:p>
            <w:r>
              <w:t>5</w:t>
            </w:r>
          </w:p>
        </w:tc>
        <w:tc>
          <w:tcPr>
            <w:tcW w:type="dxa" w:w="1728"/>
          </w:tcPr>
          <w:p>
            <w:r>
              <w:t>Dokumentasi hasil penilaian per mata kuliah per semester</w:t>
            </w:r>
          </w:p>
        </w:tc>
        <w:tc>
          <w:tcPr>
            <w:tcW w:type="dxa" w:w="1728"/>
          </w:tcPr>
          <w:p>
            <w:r>
              <w:t>90%</w:t>
            </w:r>
          </w:p>
        </w:tc>
        <w:tc>
          <w:tcPr>
            <w:tcW w:type="dxa" w:w="1728"/>
          </w:tcPr>
          <w:p>
            <w:r>
              <w:t>95%</w:t>
            </w:r>
          </w:p>
        </w:tc>
        <w:tc>
          <w:tcPr>
            <w:tcW w:type="dxa" w:w="1728"/>
          </w:tcPr>
          <w:p>
            <w:r>
              <w:t>100%</w:t>
            </w:r>
          </w:p>
        </w:tc>
      </w:tr>
      <w:tr>
        <w:tc>
          <w:tcPr>
            <w:tcW w:type="dxa" w:w="1728"/>
          </w:tcPr>
          <w:p>
            <w:r>
              <w:t>*6</w:t>
            </w:r>
          </w:p>
        </w:tc>
        <w:tc>
          <w:tcPr>
            <w:tcW w:type="dxa" w:w="1728"/>
          </w:tcPr>
          <w:p>
            <w:r>
              <w:t>Pelaksanaan root-cause analysis &amp; SWOT tahunan</w:t>
            </w:r>
          </w:p>
        </w:tc>
        <w:tc>
          <w:tcPr>
            <w:tcW w:type="dxa" w:w="1728"/>
          </w:tcPr>
          <w:p>
            <w:r>
              <w:t>Terlaksana</w:t>
            </w:r>
          </w:p>
        </w:tc>
        <w:tc>
          <w:tcPr>
            <w:tcW w:type="dxa" w:w="1728"/>
          </w:tcPr>
          <w:p>
            <w:r>
              <w:t>Terlaksana</w:t>
            </w:r>
          </w:p>
        </w:tc>
        <w:tc>
          <w:tcPr>
            <w:tcW w:type="dxa" w:w="1728"/>
          </w:tcPr>
          <w:p>
            <w:r>
              <w:t>Terlaksana</w:t>
            </w:r>
          </w:p>
        </w:tc>
      </w:tr>
    </w:tbl>
    <w:p>
      <w:pPr/>
      <w:r>
        <w:rPr>
          <w:b/>
        </w:rPr>
        <w:t>STANDAR PENGELOLAAN PEMBELAJARAN</w:t>
      </w:r>
    </w:p>
    <w:p>
      <w:r>
        <w:t>1. Daftar Istilah</w:t>
      </w:r>
    </w:p>
    <w:p>
      <w:pPr>
        <w:pStyle w:val="ListBullet"/>
      </w:pPr>
      <w:r>
        <w:t>Pedoman Pengelolaan Pembelajaran adalah dokumen yang memuat perencanaan, pelaksanaan, pemantauan, evaluasi, dan pelaporan proses pembelajaran tingkat program studi.</w:t>
      </w:r>
    </w:p>
    <w:p>
      <w:pPr>
        <w:pStyle w:val="ListBullet"/>
      </w:pPr>
      <w:r>
        <w:t>Sistem Penjaminan Mutu Internal (SPMI) siklus PPEPP adalah Penetapan, Pelaksanaan, Evaluasi, Pengendalian, Peningkatan yang diterapkan pada pengelolaan pembelajaran.</w:t>
      </w:r>
    </w:p>
    <w:p>
      <w:pPr>
        <w:pStyle w:val="ListBullet"/>
      </w:pPr>
      <w:r>
        <w:t>Rapat Tinjauan Manajemen (RTM) adalah forum evaluasi berkala tingkat program studi/fakultas atas capaian standar pendidikan.</w:t>
      </w:r>
    </w:p>
    <w:p>
      <w:r>
        <w:t>2. Pihak Yang Bertanggung Jawab Untuk Memenuhi Standar</w:t>
      </w:r>
    </w:p>
    <w:p>
      <w:pPr>
        <w:pStyle w:val="ListBullet"/>
      </w:pPr>
      <w:r>
        <w:t>Ketua Program Studi Teknik Industri, dalam penyusunan rencana dan pelaporan pengelolaan pembelajaran tahunan.</w:t>
      </w:r>
    </w:p>
    <w:p>
      <w:pPr>
        <w:pStyle w:val="ListBullet"/>
      </w:pPr>
      <w:r>
        <w:t>Dekan FTII, dalam pengesahan dan pengendalian pengelolaan pembelajaran tingkat fakultas.</w:t>
      </w:r>
    </w:p>
    <w:p>
      <w:pPr>
        <w:pStyle w:val="ListBullet"/>
      </w:pPr>
      <w:r>
        <w:t>Gugus Kendali Mutu (GKM) Program Studi dan Unit Jaminan Mutu (UJM) Fakultas, dalam monitoring-evaluasi dan Audit Mutu Internal (AMI).</w:t>
      </w:r>
    </w:p>
    <w:p>
      <w:r>
        <w:t>3. Pernyataan Isi Standar Pengelolaan Pembelajaran</w:t>
      </w:r>
    </w:p>
    <w:p>
      <w:pPr>
        <w:pStyle w:val="ListNumber"/>
      </w:pPr>
      <w:r>
        <w:t>Program Studi Teknik Industri wajib memiliki pedoman pengelolaan pembelajaran yang mencakup perencanaan, pelaksanaan, pemantauan, evaluasi, dan pelaporan proses pembelajaran setiap semester.</w:t>
      </w:r>
    </w:p>
    <w:p>
      <w:pPr>
        <w:pStyle w:val="ListNumber"/>
      </w:pPr>
      <w:r>
        <w:t>Program Studi Teknik Industri wajib menyusun dan melaporkan rencana kerja tahunan (RKAT) bidang akademik yang selaras Renstra FTII.</w:t>
      </w:r>
    </w:p>
    <w:p>
      <w:pPr>
        <w:pStyle w:val="ListNumber"/>
      </w:pPr>
      <w:r>
        <w:t>Program Studi Teknik Industri wajib menerapkan siklus PPEPP terhadap pengelolaan pembelajaran, dievaluasi melalui Audit Mutu Internal (AMI) paling sedikit 1 kali setiap tahun akademik.</w:t>
      </w:r>
    </w:p>
    <w:p>
      <w:pPr>
        <w:pStyle w:val="ListNumber"/>
      </w:pPr>
      <w:r>
        <w:t>Program Studi Teknik Industri wajib menyelenggarakan Rapat Tinjauan Manajemen (RTM) tingkat program studi setelah setiap siklus AMI untuk membahas hasil evaluasi dan menyusun Rencana Tindak Lanjut (RTL).</w:t>
      </w:r>
    </w:p>
    <w:p>
      <w:pPr>
        <w:pStyle w:val="ListNumber"/>
      </w:pPr>
      <w:r>
        <w:t>Program Studi Teknik Industri wajib memantau dan melaporkan kepuasan mahasiswa terhadap proses pembelajaran melalui survei setiap semester, dengan hasil 'sangat baik' dan 'baik' paling sedikit 80%.</w:t>
      </w:r>
    </w:p>
    <w:p>
      <w:r>
        <w:t>4. Strategi Pencapaian Standar</w:t>
      </w:r>
    </w:p>
    <w:p>
      <w:pPr>
        <w:pStyle w:val="ListNumber"/>
      </w:pPr>
      <w:r>
        <w:t>Ketua Program Studi menyusun pedoman pengelolaan pembelajaran dan RKAT bidang akademik setiap tahun.</w:t>
      </w:r>
    </w:p>
    <w:p>
      <w:pPr>
        <w:pStyle w:val="ListNumber"/>
      </w:pPr>
      <w:r>
        <w:t>GKM Program Studi menerapkan siklus PPEPP dan berpartisipasi dalam AMI yang diselenggarakan UJM Fakultas.</w:t>
      </w:r>
    </w:p>
    <w:p>
      <w:pPr>
        <w:pStyle w:val="ListNumber"/>
      </w:pPr>
      <w:r>
        <w:t>Ketua Program Studi menyelenggarakan RTM setiap akhir siklus AMI dan menindaklanjuti hasil evaluasi melalui RTL.</w:t>
      </w:r>
    </w:p>
    <w:p>
      <w:pPr>
        <w:pStyle w:val="ListNumber"/>
      </w:pPr>
      <w:r>
        <w:t>GKM Program Studi menyusun dan melaksanakan survei kepuasan mahasiswa terhadap proses pembelajaran setiap semester.</w:t>
      </w:r>
    </w:p>
    <w:p>
      <w:r>
        <w:t>5. Indikator Capaian Standar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No</w:t>
            </w:r>
          </w:p>
        </w:tc>
        <w:tc>
          <w:tcPr>
            <w:tcW w:type="dxa" w:w="1728"/>
          </w:tcPr>
          <w:p>
            <w:r>
              <w:t>Indikator Kinerja Utama (IKU) / Tambahan (IKT)</w:t>
            </w:r>
          </w:p>
        </w:tc>
        <w:tc>
          <w:tcPr>
            <w:tcW w:type="dxa" w:w="1728"/>
          </w:tcPr>
          <w:p>
            <w:r>
              <w:t>2024/2025</w:t>
            </w:r>
          </w:p>
        </w:tc>
        <w:tc>
          <w:tcPr>
            <w:tcW w:type="dxa" w:w="1728"/>
          </w:tcPr>
          <w:p>
            <w:r>
              <w:t>2025/2026</w:t>
            </w:r>
          </w:p>
        </w:tc>
        <w:tc>
          <w:tcPr>
            <w:tcW w:type="dxa" w:w="1728"/>
          </w:tcPr>
          <w:p>
            <w:r>
              <w:t>2026/2027</w:t>
            </w:r>
          </w:p>
        </w:tc>
      </w:tr>
      <w:tr>
        <w:tc>
          <w:tcPr>
            <w:tcW w:type="dxa" w:w="1728"/>
          </w:tcPr>
          <w:p>
            <w:r>
              <w:t>1</w:t>
            </w:r>
          </w:p>
        </w:tc>
        <w:tc>
          <w:tcPr>
            <w:tcW w:type="dxa" w:w="1728"/>
          </w:tcPr>
          <w:p>
            <w:r>
              <w:t>Ketersediaan pedoman pengelolaan pembelajaran</w:t>
            </w:r>
          </w:p>
        </w:tc>
        <w:tc>
          <w:tcPr>
            <w:tcW w:type="dxa" w:w="1728"/>
          </w:tcPr>
          <w:p>
            <w:r>
              <w:t>Tersedia</w:t>
            </w:r>
          </w:p>
        </w:tc>
        <w:tc>
          <w:tcPr>
            <w:tcW w:type="dxa" w:w="1728"/>
          </w:tcPr>
          <w:p>
            <w:r>
              <w:t>Tersedia</w:t>
            </w:r>
          </w:p>
        </w:tc>
        <w:tc>
          <w:tcPr>
            <w:tcW w:type="dxa" w:w="1728"/>
          </w:tcPr>
          <w:p>
            <w:r>
              <w:t>Tersedia</w:t>
            </w:r>
          </w:p>
        </w:tc>
      </w:tr>
      <w:tr>
        <w:tc>
          <w:tcPr>
            <w:tcW w:type="dxa" w:w="1728"/>
          </w:tcPr>
          <w:p>
            <w:r>
              <w:t>2</w:t>
            </w:r>
          </w:p>
        </w:tc>
        <w:tc>
          <w:tcPr>
            <w:tcW w:type="dxa" w:w="1728"/>
          </w:tcPr>
          <w:p>
            <w:r>
              <w:t>Ketersediaan RKAT bidang akademik program studi</w:t>
            </w:r>
          </w:p>
        </w:tc>
        <w:tc>
          <w:tcPr>
            <w:tcW w:type="dxa" w:w="1728"/>
          </w:tcPr>
          <w:p>
            <w:r>
              <w:t>Tersedia</w:t>
            </w:r>
          </w:p>
        </w:tc>
        <w:tc>
          <w:tcPr>
            <w:tcW w:type="dxa" w:w="1728"/>
          </w:tcPr>
          <w:p>
            <w:r>
              <w:t>Tersedia</w:t>
            </w:r>
          </w:p>
        </w:tc>
        <w:tc>
          <w:tcPr>
            <w:tcW w:type="dxa" w:w="1728"/>
          </w:tcPr>
          <w:p>
            <w:r>
              <w:t>Tersedia</w:t>
            </w:r>
          </w:p>
        </w:tc>
      </w:tr>
      <w:tr>
        <w:tc>
          <w:tcPr>
            <w:tcW w:type="dxa" w:w="1728"/>
          </w:tcPr>
          <w:p>
            <w:r>
              <w:t>3</w:t>
            </w:r>
          </w:p>
        </w:tc>
        <w:tc>
          <w:tcPr>
            <w:tcW w:type="dxa" w:w="1728"/>
          </w:tcPr>
          <w:p>
            <w:r>
              <w:t>Pelaksanaan AMI atas pengelolaan pembelajaran (frekuensi/tahun)</w:t>
            </w:r>
          </w:p>
        </w:tc>
        <w:tc>
          <w:tcPr>
            <w:tcW w:type="dxa" w:w="1728"/>
          </w:tcPr>
          <w:p>
            <w:r>
              <w:t>1 kali</w:t>
            </w:r>
          </w:p>
        </w:tc>
        <w:tc>
          <w:tcPr>
            <w:tcW w:type="dxa" w:w="1728"/>
          </w:tcPr>
          <w:p>
            <w:r>
              <w:t>1 kali</w:t>
            </w:r>
          </w:p>
        </w:tc>
        <w:tc>
          <w:tcPr>
            <w:tcW w:type="dxa" w:w="1728"/>
          </w:tcPr>
          <w:p>
            <w:r>
              <w:t>1 kali</w:t>
            </w:r>
          </w:p>
        </w:tc>
      </w:tr>
      <w:tr>
        <w:tc>
          <w:tcPr>
            <w:tcW w:type="dxa" w:w="1728"/>
          </w:tcPr>
          <w:p>
            <w:r>
              <w:t>4</w:t>
            </w:r>
          </w:p>
        </w:tc>
        <w:tc>
          <w:tcPr>
            <w:tcW w:type="dxa" w:w="1728"/>
          </w:tcPr>
          <w:p>
            <w:r>
              <w:t>Pelaksanaan RTM dan penyusunan RTL pasca-AMI</w:t>
            </w:r>
          </w:p>
        </w:tc>
        <w:tc>
          <w:tcPr>
            <w:tcW w:type="dxa" w:w="1728"/>
          </w:tcPr>
          <w:p>
            <w:r>
              <w:t>Terlaksana</w:t>
            </w:r>
          </w:p>
        </w:tc>
        <w:tc>
          <w:tcPr>
            <w:tcW w:type="dxa" w:w="1728"/>
          </w:tcPr>
          <w:p>
            <w:r>
              <w:t>Terlaksana</w:t>
            </w:r>
          </w:p>
        </w:tc>
        <w:tc>
          <w:tcPr>
            <w:tcW w:type="dxa" w:w="1728"/>
          </w:tcPr>
          <w:p>
            <w:r>
              <w:t>Terlaksana</w:t>
            </w:r>
          </w:p>
        </w:tc>
      </w:tr>
      <w:tr>
        <w:tc>
          <w:tcPr>
            <w:tcW w:type="dxa" w:w="1728"/>
          </w:tcPr>
          <w:p>
            <w:r>
              <w:t>5</w:t>
            </w:r>
          </w:p>
        </w:tc>
        <w:tc>
          <w:tcPr>
            <w:tcW w:type="dxa" w:w="1728"/>
          </w:tcPr>
          <w:p>
            <w:r>
              <w:t>Tingkat kepuasan mahasiswa terhadap proses pembelajaran (sangat baik+baik)</w:t>
            </w:r>
          </w:p>
        </w:tc>
        <w:tc>
          <w:tcPr>
            <w:tcW w:type="dxa" w:w="1728"/>
          </w:tcPr>
          <w:p>
            <w:r>
              <w:t>80%</w:t>
            </w:r>
          </w:p>
        </w:tc>
        <w:tc>
          <w:tcPr>
            <w:tcW w:type="dxa" w:w="1728"/>
          </w:tcPr>
          <w:p>
            <w:r>
              <w:t>85%</w:t>
            </w:r>
          </w:p>
        </w:tc>
        <w:tc>
          <w:tcPr>
            <w:tcW w:type="dxa" w:w="1728"/>
          </w:tcPr>
          <w:p>
            <w:r>
              <w:t>90%</w:t>
            </w:r>
          </w:p>
        </w:tc>
      </w:tr>
      <w:tr>
        <w:tc>
          <w:tcPr>
            <w:tcW w:type="dxa" w:w="1728"/>
          </w:tcPr>
          <w:p>
            <w:r>
              <w:t>*6</w:t>
            </w:r>
          </w:p>
        </w:tc>
        <w:tc>
          <w:tcPr>
            <w:tcW w:type="dxa" w:w="1728"/>
          </w:tcPr>
          <w:p>
            <w:r>
              <w:t>Pelaksanaan root-cause analysis &amp; SWOT tahunan</w:t>
            </w:r>
          </w:p>
        </w:tc>
        <w:tc>
          <w:tcPr>
            <w:tcW w:type="dxa" w:w="1728"/>
          </w:tcPr>
          <w:p>
            <w:r>
              <w:t>Terlaksana</w:t>
            </w:r>
          </w:p>
        </w:tc>
        <w:tc>
          <w:tcPr>
            <w:tcW w:type="dxa" w:w="1728"/>
          </w:tcPr>
          <w:p>
            <w:r>
              <w:t>Terlaksana</w:t>
            </w:r>
          </w:p>
        </w:tc>
        <w:tc>
          <w:tcPr>
            <w:tcW w:type="dxa" w:w="1728"/>
          </w:tcPr>
          <w:p>
            <w:r>
              <w:t>Terlaksana</w:t>
            </w:r>
          </w:p>
        </w:tc>
      </w:tr>
    </w:tbl>
    <w:p>
      <w:pPr/>
      <w:r>
        <w:rPr>
          <w:b/>
        </w:rPr>
        <w:t>DOKUMEN TERKAIT PELAKSANAAN STANDAR</w:t>
      </w:r>
    </w:p>
    <w:p>
      <w:pPr>
        <w:pStyle w:val="ListNumber"/>
      </w:pPr>
      <w:r>
        <w:t>Keputusan Ketua Program Studi tentang penetapan Standar Proses Pendidikan Program Studi Teknik Industri.</w:t>
      </w:r>
    </w:p>
    <w:p>
      <w:pPr>
        <w:pStyle w:val="ListNumber"/>
      </w:pPr>
      <w:r>
        <w:t>Dokumen kurikulum OBE dan RPS seluruh mata kuliah.</w:t>
      </w:r>
    </w:p>
    <w:p>
      <w:pPr>
        <w:pStyle w:val="ListNumber"/>
      </w:pPr>
      <w:r>
        <w:t>Data dan laporan pelaksanaan kegiatan MBKM mahasiswa Program Studi Teknik Industri.</w:t>
      </w:r>
    </w:p>
    <w:p>
      <w:pPr>
        <w:pStyle w:val="ListNumber"/>
      </w:pPr>
      <w:r>
        <w:t>Dokumen rubrik penilaian, bukti kerja mahasiswa, dan hasil penilaian per mata kuliah.</w:t>
      </w:r>
    </w:p>
    <w:p>
      <w:pPr>
        <w:pStyle w:val="ListNumber"/>
      </w:pPr>
      <w:r>
        <w:t>Pedoman mekanisme keberatan nilai dan bukti pelaksanaannya.</w:t>
      </w:r>
    </w:p>
    <w:p>
      <w:pPr>
        <w:pStyle w:val="ListNumber"/>
      </w:pPr>
      <w:r>
        <w:t>Pedoman pengelolaan pembelajaran, RKAT bidang akademik program studi.</w:t>
      </w:r>
    </w:p>
    <w:p>
      <w:pPr>
        <w:pStyle w:val="ListNumber"/>
      </w:pPr>
      <w:r>
        <w:t>Laporan AMI, berita acara RTM, dan Rencana Tindak Lanjut (RTL).</w:t>
      </w:r>
    </w:p>
    <w:p>
      <w:pPr>
        <w:pStyle w:val="ListNumber"/>
      </w:pPr>
      <w:r>
        <w:t>Hasil survei kepuasan mahasiswa terhadap proses pembelajaran.</w:t>
      </w:r>
    </w:p>
    <w:p>
      <w:pPr>
        <w:pStyle w:val="ListNumber"/>
      </w:pPr>
      <w:r>
        <w:t>Dokumen root-cause analysis dan SWOT tahunan atas ketiga sub-standar.</w:t>
      </w:r>
    </w:p>
    <w:p>
      <w:pPr/>
      <w:r>
        <w:rPr>
          <w:b/>
        </w:rPr>
        <w:t>REFERENSI</w:t>
      </w:r>
    </w:p>
    <w:p>
      <w:pPr>
        <w:pStyle w:val="ListNumber"/>
      </w:pPr>
      <w:r>
        <w:t>Undang-Undang Republik Indonesia Nomor 12 Tahun 2012 tentang Pendidikan Tinggi.</w:t>
      </w:r>
    </w:p>
    <w:p>
      <w:pPr>
        <w:pStyle w:val="ListNumber"/>
      </w:pPr>
      <w:r>
        <w:t>Peraturan Pemerintah Republik Indonesia Nomor 4 Tahun 2014 tentang Penyelenggaraan Pendidikan Tinggi dan Pengelolaan Perguruan Tinggi.</w:t>
      </w:r>
    </w:p>
    <w:p>
      <w:pPr>
        <w:pStyle w:val="ListNumber"/>
      </w:pPr>
      <w:r>
        <w:t>Peraturan Menteri Pendidikan, Kebudayaan, Riset, dan Teknologi Republik Indonesia Nomor 53 Tahun 2023 tentang Penjaminan Mutu Pendidikan Tinggi.</w:t>
      </w:r>
    </w:p>
    <w:p>
      <w:pPr>
        <w:pStyle w:val="ListNumber"/>
      </w:pPr>
      <w:r>
        <w:t>Matriks Penilaian LED-LKPS Sarjana APS Akademik dan Vokasi Teknik 2025, Lembaga Akreditasi Mandiri Teknik (LAM Teknik).</w:t>
      </w:r>
    </w:p>
    <w:p>
      <w:pPr>
        <w:pStyle w:val="ListNumber"/>
      </w:pPr>
      <w:r>
        <w:t>Pedoman Penyusunan Laporan Evaluasi Diri (LEDPS), Lampiran 2 Peraturan LAM Teknik Nomor 5 Tahun 2025.</w:t>
      </w:r>
    </w:p>
    <w:p>
      <w:pPr>
        <w:pStyle w:val="ListNumber"/>
      </w:pPr>
      <w:r>
        <w:t>Rencana Strategis (Renstra) Fakultas Teknologi Informasi dan Industri (FTII) UNISBANK Tahun 2024-2027.</w:t>
      </w:r>
    </w:p>
    <w:p>
      <w:pPr>
        <w:pStyle w:val="ListNumber"/>
      </w:pPr>
      <w:r>
        <w:t>Standar VMTS Program Studi Teknik Industri (Standar_VMTS_ProgramStudi_TeknikIndustri.docx).</w:t>
      </w:r>
    </w:p>
    <w:p>
      <w:pPr>
        <w:pStyle w:val="ListNumber"/>
      </w:pPr>
      <w:r>
        <w:t>Standar Penjaminan Mutu Internal FTII versi Unggul (Standar_Penjaminan_Mutu_Internal_Unggul_FTII.docx).</w:t>
      </w:r>
    </w:p>
    <w:p>
      <w:r>
        <w:t>Disusun di Semarang pada tanggal 2 Agustus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