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PROSES PENDIDIKAN</w:t>
      </w:r>
    </w:p>
    <w:p>
      <w:pPr>
        <w:jc w:val="center"/>
      </w:pPr>
      <w:r>
        <w:rPr>
          <w:b/>
          <w:sz w:val="26"/>
        </w:rPr>
        <w:t>PROGRAM STUDI TEKNIK INFORMATIKA</w:t>
      </w:r>
    </w:p>
    <w:p>
      <w:pPr>
        <w:jc w:val="center"/>
      </w:pPr>
      <w:r>
        <w:rPr>
          <w:b/>
          <w:sz w:val="26"/>
        </w:rPr>
        <w:t>FAKULTAS TEKNOLOGI INFORMASI DAN INDUSTRI (FTII)</w:t>
      </w:r>
    </w:p>
    <w:p>
      <w:pPr>
        <w:jc w:val="center"/>
      </w:pPr>
      <w:r>
        <w:rPr>
          <w:b w:val="0"/>
          <w:sz w:val="22"/>
        </w:rPr>
        <w:t>Disusun untuk memenuhi ambang kriteria status Terakreditasi Unggul LAM INFOKOM dan LAM Teknik (APS-AV 2025 1.0), dengan indikator standar yang terukur</w:t>
      </w:r>
    </w:p>
    <w:p>
      <w:pPr/>
    </w:p>
    <w:p>
      <w:pPr>
        <w:spacing w:after="120"/>
      </w:pPr>
      <w:r>
        <w:rPr>
          <w:b w:val="0"/>
          <w:i w:val="0"/>
        </w:rPr>
        <w:t>Dokumen ini merupakan revisi ke-2 dari Standar Proses Pendidikan Program Studi Teknik Informatika UNISBANK. Revisi pertama disusun berdasarkan hasil pemetaan terhadap 5 dokumen rujukan (Panduan SPMI Program Sarjana/R1, Matriks Penilaian LAM Teknik APS-AV 2025 1.0, Standar Terakreditasi Unggul LAM INFOKOM, SPMI Fakultas Ilmu Komputer R4 Veteran Jawa Timur, dan seri Buku Standar SPMI R5), didokumentasikan pada standarprosespendidikan.docx, serta diverifikasi sesuai Instrumen Akreditasi Program Studi 2.1 LAM INFOKOM (Peraturan Nomor 11/PERLAM/MA/LAM-INFOKOM/X/2025). Revisi ke-2 ini merestrukturisasi dokumen mengikuti pola 3 sub-standar sesuai Permendikbudristek Nomor 53 Tahun 2023 pasal 40-45 (Standar Proses Pendidikan mencakup Standar Proses Pembelajaran, Standar Penilaian Pembelajaran, dan Standar Pengelolaan Pembelajaran), konsisten dengan pola restrukturisasi yang sudah diterapkan pada Standar Masukan Pendidikan Program Studi Teknik Informatika (standarmasukanpendidikanunggul.docx). Seluruh ambang indikator kuantitatif dan kolom tahun target (2024/2025-2026/2027) DIPERTAHANKAN dari versi sebelumnya — restrukturisasi ini murni reorganisasi struktur dan penambahan Daftar Istilah per sub-standar, bukan perubahan substansi.</w:t>
      </w:r>
    </w:p>
    <w:p>
      <w:pPr/>
    </w:p>
    <w:p>
      <w:pPr>
        <w:spacing w:before="320" w:after="120"/>
      </w:pPr>
      <w:r>
        <w:rPr>
          <w:b/>
          <w:sz w:val="28"/>
        </w:rPr>
        <w:t>1. VISI, MISI, DAN TUJUAN FTII</w:t>
      </w:r>
    </w:p>
    <w:p>
      <w:pPr>
        <w:spacing w:after="120"/>
      </w:pPr>
      <w:r>
        <w:rPr>
          <w:b w:val="0"/>
          <w:i w:val="0"/>
        </w:rPr>
        <w:t>Visi Fakultas Teknologi Informasi dan Industri (FTII) Universitas Stikubank (UNISBANK) Semarang: "Pada tahun 2035 menjadi Fakultas Teknologi Informasi dan Industri yang unggul, inovatif, adaptif dalam penerapan ilmu komputer, informatika dan industri berjiwa kewirausahaan dan berdaya saing internasional."</w:t>
      </w:r>
    </w:p>
    <w:p>
      <w:pPr>
        <w:spacing w:after="120"/>
      </w:pPr>
      <w:r>
        <w:rPr>
          <w:b w:val="0"/>
          <w:i w:val="0"/>
        </w:rPr>
        <w:t>Misi FTII mencakup: (1) menyelenggarakan pendidikan yang menghasilkan sarjana dan magister di bidang Teknologi Informasi dan Industri yang kompeten, unggul, dan mandiri; (2) melaksanakan penelitian dan pengkajian rekayasa yang inovatif; (3) melaksanakan pengabdian kepada masyarakat yang bermanfaat; (4) mengembangkan kerja sama pendidikan, penelitian, dan pengabdian pada tingkat lokal, nasional, dan internasional; serta (5) membentuk lulusan berkarakter mandiri, beretika, dan berjiwa wirausaha.</w:t>
      </w:r>
    </w:p>
    <w:p>
      <w:pPr>
        <w:spacing w:after="120"/>
      </w:pPr>
      <w:r>
        <w:rPr>
          <w:b w:val="0"/>
          <w:i w:val="0"/>
        </w:rPr>
        <w:t>Tujuan FTII mencakup terwujudnya organisasi yang transparan dan akuntabel berbasis TIK, lulusan yang kompeten di bidang ilmu komputer-informatika-industri dan berjiwa wirausaha, SDM yang mampu meneliti dan mengabdi kepada masyarakat, serta terbentuknya jaringan kerja sama yang saling menguntungkan.</w:t>
      </w:r>
    </w:p>
    <w:p>
      <w:pPr>
        <w:spacing w:before="320" w:after="120"/>
      </w:pPr>
      <w:r>
        <w:rPr>
          <w:b/>
          <w:sz w:val="28"/>
        </w:rPr>
        <w:t>2. RASIONAL</w:t>
      </w:r>
    </w:p>
    <w:p>
      <w:pPr>
        <w:spacing w:after="120"/>
      </w:pPr>
      <w:r>
        <w:rPr>
          <w:b w:val="0"/>
          <w:i w:val="0"/>
        </w:rPr>
        <w:t>Standar Proses Pendidikan disusun mengacu pada Peraturan Menteri Pendidikan, Kebudayaan, Riset, dan Teknologi Nomor 53 Tahun 2023 pasal 40-45, sebagai perwujudan pencapaian Visi FTII 2035 dengan memastikan proses pembelajaran dilaksanakan secara sistematis, terencana, terdokumentasi, terukur, dan berorientasi pada pencapaian Capaian Pembelajaran Lulusan (CPL) melalui penerapan kurikulum berbasis Outcome-Based Education (OBE).</w:t>
      </w:r>
    </w:p>
    <w:p>
      <w:pPr>
        <w:spacing w:after="120"/>
      </w:pPr>
      <w:r>
        <w:rPr>
          <w:b w:val="0"/>
          <w:i w:val="0"/>
        </w:rPr>
        <w:t>Standar ini disusun tidak hanya untuk memenuhi ketentuan minimal Standar Nasional Pendidikan Tinggi (SN Dikti), tetapi secara khusus dirancang agar setiap indikator kinerjanya memenuhi atau melampaui ambang skor tertinggi (skor 4) pada Matriks Penilaian LAM Teknik (APS-AV 2025 1.0) maupun Panduan SPMI Program Sarjana (R1), serta deskriptor tertinggi Kriteria 2 (Relevansi Pendidikan) LAM INFOKOM untuk status Terakreditasi Unggul, termasuk Instrumen Akreditasi Program Studi 2.1 LAM INFOKOM terbaru. Verifikasi terhadap Instrumen 2.1 menemukan bahwa kriteria Relevansi Pendidikan (sub-butir Fleksibilitas Proses Pembelajaran) memakai rubrik kualitatif tanpa ambang angka eksplisit, sehingga seluruh ambang kuantitatif FTII pada dokumen ini berfungsi sebagai bukti sahih pemenuhan rubrik kualitatif tersebut.</w:t>
      </w:r>
    </w:p>
    <w:p>
      <w:pPr>
        <w:spacing w:after="120"/>
      </w:pPr>
      <w:r>
        <w:rPr>
          <w:b w:val="0"/>
          <w:i w:val="0"/>
        </w:rPr>
        <w:t>Penyusunan standar ini juga didasarkan pada hasil analisis kesenjangan (gap analysis) terhadap draft Standar Proses Pendidikan Program Studi Teknik Informatika sebelumnya, yang mengidentifikasi area yang memerlukan penambahan ambang kuantitatif (kelengkapan dan siklus tinjauan RPS, Persentase Jam Pembelajaran Praktik/PJP, checklist dan monev MBKM, ambang kuantitatif RPL, kelengkapan dokumentasi penilaian, tenggat pengumuman nilai, frekuensi kegiatan dan ambang kepuasan suasana akademik) serta penyelarasan angka target Kelulusan Tepat Waktu dengan Standar Luaran Pendidikan, agar seluruh indikator proses pendidikan setara dengan praktik terbaik pada program studi yang telah meraih akreditasi Unggul.</w:t>
      </w:r>
    </w:p>
    <w:p>
      <w:pPr>
        <w:spacing w:before="200" w:after="80"/>
      </w:pPr>
      <w:r>
        <w:rPr>
          <w:b/>
          <w:sz w:val="25"/>
        </w:rPr>
        <w:t>Ketentuan Lintas Sub-Standar: Root-Cause Analysis dan SWOT Tahunan</w:t>
      </w:r>
    </w:p>
    <w:p>
      <w:pPr>
        <w:spacing w:after="120"/>
      </w:pPr>
      <w:r>
        <w:rPr>
          <w:b w:val="0"/>
          <w:i w:val="0"/>
        </w:rPr>
        <w:t>*Sesuai kewajiban lintas-standar yang ditetapkan Standar Penjaminan Mutu Internal FTII versi Unggul (Standar_Penjaminan_Mutu_Internal_Unggul_FTII.docx), Program Studi Teknik Informatika wajib melaksanakan Analisis Faktor Keberhasilan dan Penghambat (root-cause analysis) serta analisis SWOT atas ketercapaian seluruh sub-standar Proses Pendidikan (Proses Pembelajaran, Penilaian Pembelajaran, Pengelolaan Pembelajaran) paling sedikit 1 (satu) kali setiap tahun akademik, sebagai bagian wajib pembahasan Rapat Tinjauan Manajemen (RTM) dan dasar penyusunan Rencana Tindak Lanjut (RTL). Ketentuan ini berlaku seragam bagi ketiga sub-standar di bawah dan tidak diulang pada masing-masing bagian.</w:t>
      </w:r>
    </w:p>
    <w:p>
      <w:pPr>
        <w:spacing w:after="120"/>
      </w:pPr>
      <w:r>
        <w:rPr>
          <w:b w:val="0"/>
          <w:i w:val="0"/>
        </w:rPr>
        <w:t>Melalui penerapan Standar Proses Pendidikan versi Unggul yang telah direstrukturisasi ini, Program Studi Teknik Informatika FTII UNISBANK diharapkan memiliki proses pendidikan yang setara dengan program studi berakreditasi Unggul, sekaligus berfungsi ganda sebagai instrumen penjaminan mutu internal (SPMI) dan instrumen kesiapan akreditasi eksternal LAM Teknik dan LAM INFOKOM.</w:t>
      </w:r>
    </w:p>
    <w:p>
      <w:pPr>
        <w:spacing w:before="320" w:after="120"/>
      </w:pPr>
      <w:r>
        <w:rPr>
          <w:b/>
          <w:sz w:val="28"/>
        </w:rPr>
        <w:t>STANDAR PROSES PEMBELAJARAN</w:t>
      </w:r>
    </w:p>
    <w:p>
      <w:pPr>
        <w:spacing w:before="200" w:after="80"/>
      </w:pPr>
      <w:r>
        <w:rPr>
          <w:b/>
          <w:sz w:val="25"/>
        </w:rPr>
        <w:t>1. Daftar Istilah</w:t>
      </w:r>
    </w:p>
    <w:p>
      <w:pPr>
        <w:pStyle w:val="ListBullet"/>
        <w:spacing w:after="80"/>
      </w:pPr>
      <w:r>
        <w:rPr/>
        <w:t>Outcome-Based Education (OBE) adalah pendekatan pendidikan yang berorientasi pada pencapaian capaian pembelajaran (outcome) yang telah ditetapkan, menjadi dasar perancangan kurikulum, proses pembelajaran, dan asesmen program studi.</w:t>
      </w:r>
    </w:p>
    <w:p>
      <w:pPr>
        <w:pStyle w:val="ListBullet"/>
        <w:spacing w:after="80"/>
      </w:pPr>
      <w:r>
        <w:rPr/>
        <w:t>Rencana Pembelajaran Semester (RPS) adalah dokumen perencanaan proses pembelajaran untuk satu mata kuliah selama satu semester, memuat target capaian, bahan kajian, metode, alokasi waktu, tahapan asesmen, dan bukti peninjauan berkala.</w:t>
      </w:r>
    </w:p>
    <w:p>
      <w:pPr>
        <w:pStyle w:val="ListBullet"/>
        <w:spacing w:after="80"/>
      </w:pPr>
      <w:r>
        <w:rPr/>
        <w:t>Project-Based Learning (PBL) dan Case-Based Learning (CBL) adalah metode pembelajaran inovatif berbasis proyek nyata atau studi kasus yang mendorong mahasiswa memecahkan masalah secara aktif dan kolaboratif.</w:t>
      </w:r>
    </w:p>
    <w:p>
      <w:pPr>
        <w:pStyle w:val="ListBullet"/>
        <w:spacing w:after="80"/>
      </w:pPr>
      <w:r>
        <w:rPr/>
        <w:t>Merdeka Belajar Kampus Merdeka (MBKM) adalah kebijakan yang memberikan hak belajar tiga semester di luar program studi, mencakup magang, pertukaran mahasiswa, penelitian, proyek kemanusiaan, dan bentuk kegiatan lain yang relevan.</w:t>
      </w:r>
    </w:p>
    <w:p>
      <w:pPr>
        <w:pStyle w:val="ListBullet"/>
        <w:spacing w:after="80"/>
      </w:pPr>
      <w:r>
        <w:rPr/>
        <w:t>Recognition of Prior Learning (RPL) adalah pengakuan atas capaian pembelajaran yang diperoleh seseorang dari pendidikan formal, nonformal, informal, dan/atau pengalaman kerja, yang dapat disetarakan dengan capaian pembelajaran pada program studi.</w:t>
      </w:r>
    </w:p>
    <w:p>
      <w:pPr>
        <w:pStyle w:val="ListBullet"/>
        <w:spacing w:after="80"/>
      </w:pPr>
      <w:r>
        <w:rPr/>
        <w:t>Persentase Jam Pembelajaran Praktik (PJP) adalah rasio jam pembelajaran praktikum, praktik lapangan, dan kegiatan MBKM terhadap total jam pembelajaran program studi.</w:t>
      </w:r>
    </w:p>
    <w:p>
      <w:pPr>
        <w:pStyle w:val="ListBullet"/>
        <w:spacing w:after="80"/>
      </w:pPr>
      <w:r>
        <w:rPr/>
        <w:t>Micro-credential adalah sertifikasi capaian pembelajaran atas kompetensi spesifik dalam cakupan yang lebih kecil dari satu program studi penuh, dapat diakui dan diakumulasi ke dalam capaian pembelajaran.</w:t>
      </w:r>
    </w:p>
    <w:p>
      <w:pPr>
        <w:spacing w:before="200" w:after="80"/>
      </w:pPr>
      <w:r>
        <w:rPr>
          <w:b/>
          <w:sz w:val="25"/>
        </w:rPr>
        <w:t>2. Pihak Yang Bertanggung Jawab Untuk Memenuhi Standar</w:t>
      </w:r>
    </w:p>
    <w:p>
      <w:pPr>
        <w:pStyle w:val="ListBullet"/>
        <w:spacing w:after="80"/>
      </w:pPr>
      <w:r>
        <w:rPr/>
        <w:t>Rektor, dalam menetapkan kebijakan Standar Proses Pembelajaran, mempertimbangkan VMTS Fakultas, kebutuhan DUDIKA, dan perkembangan IPTEK.</w:t>
      </w:r>
    </w:p>
    <w:p>
      <w:pPr>
        <w:pStyle w:val="ListBullet"/>
        <w:spacing w:after="80"/>
      </w:pPr>
      <w:r>
        <w:rPr/>
        <w:t>Wakil Rektor Bidang Akademik dan Kemahasiswaan, dalam mengendalikan kebijakan proses pembelajaran, MBKM, dan RPL.</w:t>
      </w:r>
    </w:p>
    <w:p>
      <w:pPr>
        <w:pStyle w:val="ListBullet"/>
        <w:spacing w:after="80"/>
      </w:pPr>
      <w:r>
        <w:rPr/>
        <w:t>Direktorat Pengembangan Kurikulum dan Pembelajaran Digital (DPKPD), dalam penyusunan pedoman kurikulum OBE, RPS, dan pembelajaran inovatif.</w:t>
      </w:r>
    </w:p>
    <w:p>
      <w:pPr>
        <w:pStyle w:val="ListBullet"/>
        <w:spacing w:after="80"/>
      </w:pPr>
      <w:r>
        <w:rPr/>
        <w:t>Dekan FTII dan Ketua Program Studi, dalam pelaksanaan dan verifikasi kesesuaian proses pembelajaran dengan standar.</w:t>
      </w:r>
    </w:p>
    <w:p>
      <w:pPr>
        <w:pStyle w:val="ListBullet"/>
        <w:spacing w:after="80"/>
      </w:pPr>
      <w:r>
        <w:rPr/>
        <w:t>Dosen dan Dosen Pembimbing MBKM/Magang, dalam pelaksanaan RPS, pembelajaran inovatif, dan pembimbingan MBKM/magang/tugas akhir.</w:t>
      </w:r>
    </w:p>
    <w:p>
      <w:pPr>
        <w:pStyle w:val="ListBullet"/>
        <w:spacing w:after="80"/>
      </w:pPr>
      <w:r>
        <w:rPr/>
        <w:t>Unit Pengelola MBKM, dalam pengelolaan kebijakan, dokumen perencanaan, dan monitoring-evaluasi pelaksanaan MBKM.</w:t>
      </w:r>
    </w:p>
    <w:p>
      <w:pPr>
        <w:pStyle w:val="ListBullet"/>
        <w:spacing w:after="80"/>
      </w:pPr>
      <w:r>
        <w:rPr/>
        <w:t>Gugus Kendali Mutu (GKM) Program Studi, dalam verifikasi kelengkapan RPS dan capaian indikator proses pembelajaran.</w:t>
      </w:r>
    </w:p>
    <w:p>
      <w:pPr>
        <w:spacing w:before="200" w:after="80"/>
      </w:pPr>
      <w:r>
        <w:rPr>
          <w:b/>
          <w:sz w:val="25"/>
        </w:rPr>
        <w:t>3. Pernyataan Isi Standar Proses Pembelajaran</w:t>
      </w:r>
    </w:p>
    <w:p>
      <w:pPr>
        <w:pStyle w:val="ListNumber"/>
        <w:spacing w:after="120"/>
      </w:pPr>
      <w:r>
        <w:rPr/>
        <w:t>Program Studi Teknik Informatika wajib memiliki dan menerapkan Standar Proses Pendidikan yang ditetapkan melalui keputusan Rektor dan ditinjau paling sedikit satu kali dalam satu siklus kurikulum (4-5 tahun).</w:t>
      </w:r>
    </w:p>
    <w:p>
      <w:pPr>
        <w:pStyle w:val="ListNumber"/>
        <w:spacing w:after="120"/>
      </w:pPr>
      <w:r>
        <w:rPr/>
        <w:t>Setiap program studi wajib memiliki dokumen kurikulum berbasis Outcome-Based Education (OBE) yang mengintegrasikan Project-Based Learning (PBL), Case-Based Learning (CBL), data-driven system, digital business, kewirausahaan, micro-credential, dan Recognition of Prior Learning (RPL), selaras dengan CPL, KKNI Level 6, dan kebutuhan DUDIKA.</w:t>
      </w:r>
    </w:p>
    <w:p>
      <w:pPr>
        <w:pStyle w:val="ListNumber"/>
        <w:spacing w:after="120"/>
      </w:pPr>
      <w:r>
        <w:rPr/>
        <w:t>Setiap dosen wajib menyusun dan memperbarui Rencana Pembelajaran Semester (RPS) untuk setiap mata kuliah yang diampu, dengan RPS mencakup sekurang-kurangnya 4 (empat) aspek: (a) target capaian, bahan kajian, metode, dan alokasi waktu; (b) tahapan asesmen; (c) bukti peninjauan berkala; dan (d) aksesibilitas RPS bagi mahasiswa serta pelaksanaan yang konsisten.</w:t>
      </w:r>
    </w:p>
    <w:p>
      <w:pPr>
        <w:pStyle w:val="ListNumber"/>
        <w:spacing w:after="120"/>
      </w:pPr>
      <w:r>
        <w:rPr/>
        <w:t>Program studi wajib memastikan paling sedikit 90% mata kuliah memiliki RPS lengkap terdokumentasi memenuhi 4 aspek pada tahun pertama penerapan standar, meningkat menjadi 100% pada tahun-tahun berikutnya, serta RPS ditinjau dan dimutakhirkan paling lambat setiap 2 (dua) tahun sekali.</w:t>
      </w:r>
    </w:p>
    <w:p>
      <w:pPr>
        <w:pStyle w:val="ListNumber"/>
        <w:spacing w:after="120"/>
      </w:pPr>
      <w:r>
        <w:rPr/>
        <w:t>Program Studi Teknik Informatika wajib menjamin kesesuaian RPS dengan CPL berbasis KKNI Level 6 untuk program sarjana sebesar 100% mata kuliah, dibuktikan melalui dokumen pemetaan CPL-CPMK-RPS.</w:t>
      </w:r>
    </w:p>
    <w:p>
      <w:pPr>
        <w:pStyle w:val="ListNumber"/>
        <w:spacing w:after="120"/>
      </w:pPr>
      <w:r>
        <w:rPr/>
        <w:t>Program Studi Teknik Informatika wajib memiliki dan menerapkan pedoman sistem penugasan dosen yang menjamin kesesuaian bidang keahlian, beban kerja, dan kebutuhan mata kuliah.</w:t>
      </w:r>
    </w:p>
    <w:p>
      <w:pPr>
        <w:pStyle w:val="ListNumber"/>
        <w:spacing w:after="120"/>
      </w:pPr>
      <w:r>
        <w:rPr/>
        <w:t>Program Studi Teknik Informatika wajib menjamin terlaksananya proses pembelajaran sesuai kalender akademik, termasuk keterlaksanaan pembelajaran minimal 16 kali pertemuan per semester dibuktikan melalui presensi dan/atau Berita Acara Perkuliahan (BAP), serta beban belajar program sarjana paling sedikit 146 SKS dengan pengaturan beban SKS semester 1-2 paling banyak 20 SKS dan semester 3-8 paling banyak 24 SKS.</w:t>
      </w:r>
    </w:p>
    <w:p>
      <w:pPr>
        <w:pStyle w:val="ListNumber"/>
        <w:spacing w:after="120"/>
      </w:pPr>
      <w:r>
        <w:rPr/>
        <w:t>Program Studi Teknik Informatika wajib menerapkan pembelajaran inovatif (PBL, CBL, micro-credential, RPL, pembelajaran berbasis penelitian/PkM/proyek/kasus) pada paling sedikit 80% mata kuliah pada tahun pertama penerapan standar, meningkat secara bertahap menuju paling sedikit 90%, sebagai praktik unggulan yang telah melampaui ambang skor tertinggi seluruh dokumen rujukan.</w:t>
      </w:r>
    </w:p>
    <w:p>
      <w:pPr>
        <w:pStyle w:val="ListNumber"/>
        <w:spacing w:after="120"/>
      </w:pPr>
      <w:r>
        <w:rPr/>
        <w:t>Program Studi Teknik Informatika wajib menetapkan dan mengukur Persentase Jam Pembelajaran Praktik (PJP), yaitu rasio jam pembelajaran praktikum, praktik lapangan, dan MBKM terhadap total jam pembelajaran, dengan ambang paling sedikit 20% dan paling banyak 50%, mengacu formula identik Panduan SPMI Program Sarjana (R1) dan LAM Teknik.</w:t>
      </w:r>
    </w:p>
    <w:p>
      <w:pPr>
        <w:pStyle w:val="ListNumber"/>
        <w:spacing w:after="120"/>
      </w:pPr>
      <w:r>
        <w:rPr/>
        <w:t>Program Studi Teknik Informatika wajib mengintegrasikan hasil penelitian dan/atau Pengabdian kepada Masyarakat (PkM) ke dalam pembelajaran pada paling sedikit 25% dari seluruh mata kuliah, dengan paling sedikit 4 (empat) mata kuliah terintegrasi hasil penelitian dan 4 (empat) mata kuliah terintegrasi hasil PkM per program studi per tahun sebagai angka absolut pembanding.</w:t>
      </w:r>
    </w:p>
    <w:p>
      <w:pPr>
        <w:pStyle w:val="ListNumber"/>
        <w:spacing w:after="120"/>
      </w:pPr>
      <w:r>
        <w:rPr/>
        <w:t>Program Studi Teknik Informatika wajib memiliki kebijakan dan pedoman Merdeka Belajar Kampus Merdeka (MBKM) yang dilengkapi checklist paling sedikit 5 dari 6 dokumen perencanaan (kebijakan/payung implementasi, kurikulum MBKM, MoU mitra, panduan dosen, panduan mahasiswa, panduan administrasi/monev), meningkat menjadi 6 dari 6 dokumen pada tahun kedua penerapan standar.</w:t>
      </w:r>
    </w:p>
    <w:p>
      <w:pPr>
        <w:pStyle w:val="ListNumber"/>
        <w:spacing w:after="120"/>
      </w:pPr>
      <w:r>
        <w:rPr/>
        <w:t>Program Studi Teknik Informatika wajib melaksanakan monitoring dan evaluasi pelaksanaan MBKM yang memenuhi paling sedikit 4 (empat) aspek: kesesuaian waktu pelaksanaan, kesesuaian bentuk kegiatan dengan mata kuliah konversi, ketersediaan bukti logbook, dan pengukuran CPL hasil MBKM.</w:t>
      </w:r>
    </w:p>
    <w:p>
      <w:pPr>
        <w:pStyle w:val="ListNumber"/>
        <w:spacing w:after="120"/>
      </w:pPr>
      <w:r>
        <w:rPr/>
        <w:t>Program Studi Teknik Informatika wajib menetapkan target partisipasi mahasiswa dalam kegiatan MBKM paling sedikit 15% pada tahun pertama, meningkat secara bertahap menuju paling sedikit 25%.</w:t>
      </w:r>
    </w:p>
    <w:p>
      <w:pPr>
        <w:pStyle w:val="ListNumber"/>
        <w:spacing w:after="120"/>
      </w:pPr>
      <w:r>
        <w:rPr/>
        <w:t>Program Studi Teknik Informatika wajib memiliki pedoman Recognition of Prior Learning (RPL) yang menetapkan ambang kuantitatif paling banyak 70% dari total SKS program studi yang dapat diakui melalui jalur RPL, disertai target jumlah mahasiswa pemanfaat RPL yang meningkat bertahap setiap tahun.</w:t>
      </w:r>
    </w:p>
    <w:p>
      <w:pPr>
        <w:pStyle w:val="ListNumber"/>
        <w:spacing w:after="120"/>
      </w:pPr>
      <w:r>
        <w:rPr/>
        <w:t>Program Studi Teknik Informatika wajib melaksanakan program magang mahasiswa di DUDIKA dan menyediakan tugas akhir bagi mahasiswa program sarjana secara terencana, terbimbing, terdokumentasi, dan dievaluasi.</w:t>
      </w:r>
    </w:p>
    <w:p>
      <w:pPr>
        <w:spacing w:before="200" w:after="80"/>
      </w:pPr>
      <w:r>
        <w:rPr>
          <w:b/>
          <w:sz w:val="25"/>
        </w:rPr>
        <w:t>4. Strategi Pencapaian Standar</w:t>
      </w:r>
    </w:p>
    <w:p>
      <w:pPr>
        <w:pStyle w:val="ListNumber"/>
        <w:spacing w:after="120"/>
      </w:pPr>
      <w:r>
        <w:rPr/>
        <w:t>Rektor menetapkan kebijakan, standar, pedoman, dan peraturan Standar Proses Pembelajaran sebagai bagian dari SPMI Universitas, dengan ambang indikator disetarakan pada skor tertinggi instrumen LAM Teknik/Panduan SPMI Program Sarjana (R1) dan kriteria Unggul LAM INFOKOM.</w:t>
      </w:r>
    </w:p>
    <w:p>
      <w:pPr>
        <w:pStyle w:val="ListNumber"/>
        <w:spacing w:after="120"/>
      </w:pPr>
      <w:r>
        <w:rPr/>
        <w:t>DPKPD menyusun dan memutakhirkan Pedoman Penyusunan RPS yang mewajibkan pemenuhan 4 aspek kelengkapan (target capaian/bahan kajian/metode/waktu, tahapan asesmen, bukti peninjauan berkala, aksesibilitas) serta menetapkan siklus tinjauan RPS maksimal 2 tahun.</w:t>
      </w:r>
    </w:p>
    <w:p>
      <w:pPr>
        <w:pStyle w:val="ListNumber"/>
        <w:spacing w:after="120"/>
      </w:pPr>
      <w:r>
        <w:rPr/>
        <w:t>Ketua Program Studi memastikan seluruh mata kuliah memiliki RPS terdigitalisasi yang diunggah pada sistem informasi akademik dan diverifikasi kesesuaiannya dengan CPL berbasis KKNI Level 6 sebelum awal semester.</w:t>
      </w:r>
    </w:p>
    <w:p>
      <w:pPr>
        <w:pStyle w:val="ListNumber"/>
        <w:spacing w:after="120"/>
      </w:pPr>
      <w:r>
        <w:rPr/>
        <w:t>DPKPD bersama program studi memperluas implementasi PBL, CBL, micro-credential, dan RPL secara bertahap menuju 90% mata kuliah, serta memantau capaiannya melalui laporan semester.</w:t>
      </w:r>
    </w:p>
    <w:p>
      <w:pPr>
        <w:pStyle w:val="ListNumber"/>
        <w:spacing w:after="120"/>
      </w:pPr>
      <w:r>
        <w:rPr/>
        <w:t>FTII menghitung dan memantau Persentase Jam Pembelajaran Praktik (PJP) setiap program studi menggunakan formula PJP = (Jam Praktikum + Praktik Lapangan + MBKM) / (Jam Pembelajaran Total) x 100%, dengan target berada pada rentang 20%-50%.</w:t>
      </w:r>
    </w:p>
    <w:p>
      <w:pPr>
        <w:pStyle w:val="ListNumber"/>
        <w:spacing w:after="120"/>
      </w:pPr>
      <w:r>
        <w:rPr/>
        <w:t>Dosen mengintegrasikan hasil penelitian dan/atau PkM ke dalam mata kuliah melalui penyempurnaan RPS; DJM memantau dan melaporkan jumlah mata kuliah terintegrasi penelitian dan PkM secara terpisah setiap tahun akademik.</w:t>
      </w:r>
    </w:p>
    <w:p>
      <w:pPr>
        <w:pStyle w:val="ListNumber"/>
        <w:spacing w:after="120"/>
      </w:pPr>
      <w:r>
        <w:rPr/>
        <w:t>Wakil Rektor Bidang Akademik bersama DPKPD, DAA, dan Unit MBKM menyusun kebijakan MBKM yang melengkapi 6 dokumen perencanaan (kebijakan, kurikulum MBKM, MoU mitra, panduan dosen, panduan mahasiswa, panduan admin/monev) serta menetapkan 4 aspek monev pelaksanaan MBKM (kesesuaian waktu, kesesuaian bentuk kegiatan, bukti logbook, pengukuran CPL).</w:t>
      </w:r>
    </w:p>
    <w:p>
      <w:pPr>
        <w:pStyle w:val="ListNumber"/>
        <w:spacing w:after="120"/>
      </w:pPr>
      <w:r>
        <w:rPr/>
        <w:t>Program studi melakukan sosialisasi dan pendampingan MBKM untuk mencapai target partisipasi mahasiswa 15% menuju 25%, serta menyusun dokumen rekognisi MBKM secara sistematis.</w:t>
      </w:r>
    </w:p>
    <w:p>
      <w:pPr>
        <w:pStyle w:val="ListNumber"/>
        <w:spacing w:after="120"/>
      </w:pPr>
      <w:r>
        <w:rPr/>
        <w:t>DJM menyusun pedoman RPL yang menetapkan ambang maksimal 70% SKS dapat diakui melalui RPL, dan program studi mencatat serta melaporkan jumlah pemanfaat RPL setiap tahun akademik.</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2024/2025</w:t>
            </w:r>
          </w:p>
        </w:tc>
        <w:tc>
          <w:tcPr>
            <w:tcW w:type="dxa" w:w="1234"/>
          </w:tcPr>
          <w:p>
            <w:pPr/>
            <w:r/>
            <w:r>
              <w:rPr/>
            </w:r>
            <w:r>
              <w:rPr>
                <w:b/>
              </w:rPr>
              <w:t>Target 2025/2026</w:t>
            </w:r>
          </w:p>
        </w:tc>
        <w:tc>
          <w:tcPr>
            <w:tcW w:type="dxa" w:w="1234"/>
          </w:tcPr>
          <w:p>
            <w:pPr/>
            <w:r/>
            <w:r>
              <w:rPr/>
            </w:r>
            <w:r>
              <w:rPr>
                <w:b/>
              </w:rPr>
              <w:t>Target 2026/2027</w:t>
            </w:r>
          </w:p>
        </w:tc>
      </w:tr>
      <w:tr>
        <w:tc>
          <w:tcPr>
            <w:tcW w:type="dxa" w:w="1234"/>
          </w:tcPr>
          <w:p>
            <w:pPr/>
            <w:r/>
            <w:r>
              <w:rPr/>
            </w:r>
            <w:r>
              <w:rPr>
                <w:b w:val="0"/>
              </w:rPr>
              <w:t>1</w:t>
            </w:r>
          </w:p>
        </w:tc>
        <w:tc>
          <w:tcPr>
            <w:tcW w:type="dxa" w:w="1234"/>
          </w:tcPr>
          <w:p>
            <w:pPr/>
            <w:r/>
            <w:r>
              <w:rPr/>
            </w:r>
            <w:r>
              <w:rPr>
                <w:b w:val="0"/>
              </w:rPr>
              <w:t>Ketersediaan Kebijakan Standar Proses Pendidikan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w:t>
            </w:r>
          </w:p>
        </w:tc>
        <w:tc>
          <w:tcPr>
            <w:tcW w:type="dxa" w:w="1234"/>
          </w:tcPr>
          <w:p>
            <w:pPr/>
            <w:r/>
            <w:r>
              <w:rPr/>
            </w:r>
            <w:r>
              <w:rPr>
                <w:b w:val="0"/>
              </w:rPr>
              <w:t>Mata kuliah dengan RPS lengkap 4 aspek terdokumentasi [IKU]</w:t>
            </w:r>
          </w:p>
        </w:tc>
        <w:tc>
          <w:tcPr>
            <w:tcW w:type="dxa" w:w="1234"/>
          </w:tcPr>
          <w:p>
            <w:pPr/>
            <w:r/>
            <w:r>
              <w:rPr/>
            </w:r>
            <w:r>
              <w:rPr>
                <w:b w:val="0"/>
              </w:rPr>
              <w:t>%</w:t>
            </w:r>
          </w:p>
        </w:tc>
        <w:tc>
          <w:tcPr>
            <w:tcW w:type="dxa" w:w="1234"/>
          </w:tcPr>
          <w:p>
            <w:pPr/>
            <w:r/>
            <w:r>
              <w:rPr/>
            </w:r>
            <w:r>
              <w:rPr>
                <w:b w:val="0"/>
              </w:rPr>
              <w:t>75-100 (R1)</w:t>
            </w:r>
          </w:p>
        </w:tc>
        <w:tc>
          <w:tcPr>
            <w:tcW w:type="dxa" w:w="1234"/>
          </w:tcPr>
          <w:p>
            <w:pPr/>
            <w:r/>
            <w:r>
              <w:rPr/>
            </w:r>
            <w:r>
              <w:rPr>
                <w:b w:val="0"/>
              </w:rPr>
              <w:t>90</w:t>
            </w:r>
          </w:p>
        </w:tc>
        <w:tc>
          <w:tcPr>
            <w:tcW w:type="dxa" w:w="1234"/>
          </w:tcPr>
          <w:p>
            <w:pPr/>
            <w:r/>
            <w:r>
              <w:rPr/>
            </w:r>
            <w:r>
              <w:rPr>
                <w:b w:val="0"/>
              </w:rPr>
              <w:t>95</w:t>
            </w:r>
          </w:p>
        </w:tc>
        <w:tc>
          <w:tcPr>
            <w:tcW w:type="dxa" w:w="1234"/>
          </w:tcPr>
          <w:p>
            <w:pPr/>
            <w:r/>
            <w:r>
              <w:rPr/>
            </w:r>
            <w:r>
              <w:rPr>
                <w:b w:val="0"/>
              </w:rPr>
              <w:t>100</w:t>
            </w:r>
          </w:p>
        </w:tc>
      </w:tr>
      <w:tr>
        <w:tc>
          <w:tcPr>
            <w:tcW w:type="dxa" w:w="1234"/>
          </w:tcPr>
          <w:p>
            <w:pPr/>
            <w:r/>
            <w:r>
              <w:rPr/>
            </w:r>
            <w:r>
              <w:rPr>
                <w:b w:val="0"/>
              </w:rPr>
              <w:t>3</w:t>
            </w:r>
          </w:p>
        </w:tc>
        <w:tc>
          <w:tcPr>
            <w:tcW w:type="dxa" w:w="1234"/>
          </w:tcPr>
          <w:p>
            <w:pPr/>
            <w:r/>
            <w:r>
              <w:rPr/>
            </w:r>
            <w:r>
              <w:rPr>
                <w:b w:val="0"/>
              </w:rPr>
              <w:t>Siklus tinjauan/pemutakhiran RPS [IKU]</w:t>
            </w:r>
          </w:p>
        </w:tc>
        <w:tc>
          <w:tcPr>
            <w:tcW w:type="dxa" w:w="1234"/>
          </w:tcPr>
          <w:p>
            <w:pPr/>
            <w:r/>
            <w:r>
              <w:rPr/>
            </w:r>
            <w:r>
              <w:rPr>
                <w:b w:val="0"/>
              </w:rPr>
              <w:t>Tahun (maks)</w:t>
            </w:r>
          </w:p>
        </w:tc>
        <w:tc>
          <w:tcPr>
            <w:tcW w:type="dxa" w:w="1234"/>
          </w:tcPr>
          <w:p>
            <w:pPr/>
            <w:r/>
            <w:r>
              <w:rPr/>
            </w:r>
            <w:r>
              <w:rPr>
                <w:b w:val="0"/>
              </w:rPr>
              <w:t>maks 2 (R5)</w:t>
            </w:r>
          </w:p>
        </w:tc>
        <w:tc>
          <w:tcPr>
            <w:tcW w:type="dxa" w:w="1234"/>
          </w:tcPr>
          <w:p>
            <w:pPr/>
            <w:r/>
            <w:r>
              <w:rPr/>
            </w:r>
            <w:r>
              <w:rPr>
                <w:b w:val="0"/>
              </w:rPr>
              <w:t>2</w:t>
            </w:r>
          </w:p>
        </w:tc>
        <w:tc>
          <w:tcPr>
            <w:tcW w:type="dxa" w:w="1234"/>
          </w:tcPr>
          <w:p>
            <w:pPr/>
            <w:r/>
            <w:r>
              <w:rPr/>
            </w:r>
            <w:r>
              <w:rPr>
                <w:b w:val="0"/>
              </w:rPr>
              <w:t>2</w:t>
            </w:r>
          </w:p>
        </w:tc>
        <w:tc>
          <w:tcPr>
            <w:tcW w:type="dxa" w:w="1234"/>
          </w:tcPr>
          <w:p>
            <w:pPr/>
            <w:r/>
            <w:r>
              <w:rPr/>
            </w:r>
            <w:r>
              <w:rPr>
                <w:b w:val="0"/>
              </w:rPr>
              <w:t>2</w:t>
            </w:r>
          </w:p>
        </w:tc>
      </w:tr>
      <w:tr>
        <w:tc>
          <w:tcPr>
            <w:tcW w:type="dxa" w:w="1234"/>
          </w:tcPr>
          <w:p>
            <w:pPr/>
            <w:r/>
            <w:r>
              <w:rPr/>
            </w:r>
            <w:r>
              <w:rPr>
                <w:b w:val="0"/>
              </w:rPr>
              <w:t>4</w:t>
            </w:r>
          </w:p>
        </w:tc>
        <w:tc>
          <w:tcPr>
            <w:tcW w:type="dxa" w:w="1234"/>
          </w:tcPr>
          <w:p>
            <w:pPr/>
            <w:r/>
            <w:r>
              <w:rPr/>
            </w:r>
            <w:r>
              <w:rPr>
                <w:b w:val="0"/>
              </w:rPr>
              <w:t>Kesesuaian RPS dengan CPL berbasis KKNI Level 6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5</w:t>
            </w:r>
          </w:p>
        </w:tc>
        <w:tc>
          <w:tcPr>
            <w:tcW w:type="dxa" w:w="1234"/>
          </w:tcPr>
          <w:p>
            <w:pPr/>
            <w:r/>
            <w:r>
              <w:rPr/>
            </w:r>
            <w:r>
              <w:rPr>
                <w:b w:val="0"/>
              </w:rPr>
              <w:t>Mata kuliah menerapkan pembelajaran inovatif (PBL/CBL/micro-credential/RPL) [IKU]</w:t>
            </w:r>
          </w:p>
        </w:tc>
        <w:tc>
          <w:tcPr>
            <w:tcW w:type="dxa" w:w="1234"/>
          </w:tcPr>
          <w:p>
            <w:pPr/>
            <w:r/>
            <w:r>
              <w:rPr/>
            </w:r>
            <w:r>
              <w:rPr>
                <w:b w:val="0"/>
              </w:rPr>
              <w:t>%</w:t>
            </w:r>
          </w:p>
        </w:tc>
        <w:tc>
          <w:tcPr>
            <w:tcW w:type="dxa" w:w="1234"/>
          </w:tcPr>
          <w:p>
            <w:pPr/>
            <w:r/>
            <w:r>
              <w:rPr/>
            </w:r>
            <w:r>
              <w:rPr>
                <w:b w:val="0"/>
              </w:rPr>
              <w:t>75-100 (R1); ≥70 (R5)</w:t>
            </w:r>
          </w:p>
        </w:tc>
        <w:tc>
          <w:tcPr>
            <w:tcW w:type="dxa" w:w="1234"/>
          </w:tcPr>
          <w:p>
            <w:pPr/>
            <w:r/>
            <w:r>
              <w:rPr/>
            </w:r>
            <w:r>
              <w:rPr>
                <w:b w:val="0"/>
              </w:rPr>
              <w:t>80</w:t>
            </w:r>
          </w:p>
        </w:tc>
        <w:tc>
          <w:tcPr>
            <w:tcW w:type="dxa" w:w="1234"/>
          </w:tcPr>
          <w:p>
            <w:pPr/>
            <w:r/>
            <w:r>
              <w:rPr/>
            </w:r>
            <w:r>
              <w:rPr>
                <w:b w:val="0"/>
              </w:rPr>
              <w:t>85</w:t>
            </w:r>
          </w:p>
        </w:tc>
        <w:tc>
          <w:tcPr>
            <w:tcW w:type="dxa" w:w="1234"/>
          </w:tcPr>
          <w:p>
            <w:pPr/>
            <w:r/>
            <w:r>
              <w:rPr/>
            </w:r>
            <w:r>
              <w:rPr>
                <w:b w:val="0"/>
              </w:rPr>
              <w:t>90</w:t>
            </w:r>
          </w:p>
        </w:tc>
      </w:tr>
      <w:tr>
        <w:tc>
          <w:tcPr>
            <w:tcW w:type="dxa" w:w="1234"/>
          </w:tcPr>
          <w:p>
            <w:pPr/>
            <w:r/>
            <w:r>
              <w:rPr/>
            </w:r>
            <w:r>
              <w:rPr>
                <w:b w:val="0"/>
              </w:rPr>
              <w:t>6</w:t>
            </w:r>
          </w:p>
        </w:tc>
        <w:tc>
          <w:tcPr>
            <w:tcW w:type="dxa" w:w="1234"/>
          </w:tcPr>
          <w:p>
            <w:pPr/>
            <w:r/>
            <w:r>
              <w:rPr/>
            </w:r>
            <w:r>
              <w:rPr>
                <w:b w:val="0"/>
              </w:rPr>
              <w:t>Mahasiswa mengikuti program micro-credential [IKT]</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15</w:t>
            </w:r>
          </w:p>
        </w:tc>
        <w:tc>
          <w:tcPr>
            <w:tcW w:type="dxa" w:w="1234"/>
          </w:tcPr>
          <w:p>
            <w:pPr/>
            <w:r/>
            <w:r>
              <w:rPr/>
            </w:r>
            <w:r>
              <w:rPr>
                <w:b w:val="0"/>
              </w:rPr>
              <w:t>18</w:t>
            </w:r>
          </w:p>
        </w:tc>
        <w:tc>
          <w:tcPr>
            <w:tcW w:type="dxa" w:w="1234"/>
          </w:tcPr>
          <w:p>
            <w:pPr/>
            <w:r/>
            <w:r>
              <w:rPr/>
            </w:r>
            <w:r>
              <w:rPr>
                <w:b w:val="0"/>
              </w:rPr>
              <w:t>20</w:t>
            </w:r>
          </w:p>
        </w:tc>
      </w:tr>
      <w:tr>
        <w:tc>
          <w:tcPr>
            <w:tcW w:type="dxa" w:w="1234"/>
          </w:tcPr>
          <w:p>
            <w:pPr/>
            <w:r/>
            <w:r>
              <w:rPr/>
            </w:r>
            <w:r>
              <w:rPr>
                <w:b w:val="0"/>
              </w:rPr>
              <w:t>7</w:t>
            </w:r>
          </w:p>
        </w:tc>
        <w:tc>
          <w:tcPr>
            <w:tcW w:type="dxa" w:w="1234"/>
          </w:tcPr>
          <w:p>
            <w:pPr/>
            <w:r/>
            <w:r>
              <w:rPr/>
            </w:r>
            <w:r>
              <w:rPr>
                <w:b w:val="0"/>
              </w:rPr>
              <w:t>Mata kuliah terintegrasi hasil penelitian (absolut per prodi) [IKU]</w:t>
            </w:r>
          </w:p>
        </w:tc>
        <w:tc>
          <w:tcPr>
            <w:tcW w:type="dxa" w:w="1234"/>
          </w:tcPr>
          <w:p>
            <w:pPr/>
            <w:r/>
            <w:r>
              <w:rPr/>
            </w:r>
            <w:r>
              <w:rPr>
                <w:b w:val="0"/>
              </w:rPr>
              <w:t>Jumlah MK</w:t>
            </w:r>
          </w:p>
        </w:tc>
        <w:tc>
          <w:tcPr>
            <w:tcW w:type="dxa" w:w="1234"/>
          </w:tcPr>
          <w:p>
            <w:pPr/>
            <w:r/>
            <w:r>
              <w:rPr/>
            </w:r>
            <w:r>
              <w:rPr>
                <w:b w:val="0"/>
              </w:rPr>
              <w:t>&gt;3 (R1); ≥4 (R5)</w:t>
            </w:r>
          </w:p>
        </w:tc>
        <w:tc>
          <w:tcPr>
            <w:tcW w:type="dxa" w:w="1234"/>
          </w:tcPr>
          <w:p>
            <w:pPr/>
            <w:r/>
            <w:r>
              <w:rPr/>
            </w:r>
            <w:r>
              <w:rPr>
                <w:b w:val="0"/>
              </w:rPr>
              <w:t>4</w:t>
            </w:r>
          </w:p>
        </w:tc>
        <w:tc>
          <w:tcPr>
            <w:tcW w:type="dxa" w:w="1234"/>
          </w:tcPr>
          <w:p>
            <w:pPr/>
            <w:r/>
            <w:r>
              <w:rPr/>
            </w:r>
            <w:r>
              <w:rPr>
                <w:b w:val="0"/>
              </w:rPr>
              <w:t>5</w:t>
            </w:r>
          </w:p>
        </w:tc>
        <w:tc>
          <w:tcPr>
            <w:tcW w:type="dxa" w:w="1234"/>
          </w:tcPr>
          <w:p>
            <w:pPr/>
            <w:r/>
            <w:r>
              <w:rPr/>
            </w:r>
            <w:r>
              <w:rPr>
                <w:b w:val="0"/>
              </w:rPr>
              <w:t>6</w:t>
            </w:r>
          </w:p>
        </w:tc>
      </w:tr>
      <w:tr>
        <w:tc>
          <w:tcPr>
            <w:tcW w:type="dxa" w:w="1234"/>
          </w:tcPr>
          <w:p>
            <w:pPr/>
            <w:r/>
            <w:r>
              <w:rPr/>
            </w:r>
            <w:r>
              <w:rPr>
                <w:b w:val="0"/>
              </w:rPr>
              <w:t>8</w:t>
            </w:r>
          </w:p>
        </w:tc>
        <w:tc>
          <w:tcPr>
            <w:tcW w:type="dxa" w:w="1234"/>
          </w:tcPr>
          <w:p>
            <w:pPr/>
            <w:r/>
            <w:r>
              <w:rPr/>
            </w:r>
            <w:r>
              <w:rPr>
                <w:b w:val="0"/>
              </w:rPr>
              <w:t>Mata kuliah terintegrasi hasil PkM (absolut per prodi) [IKU]</w:t>
            </w:r>
          </w:p>
        </w:tc>
        <w:tc>
          <w:tcPr>
            <w:tcW w:type="dxa" w:w="1234"/>
          </w:tcPr>
          <w:p>
            <w:pPr/>
            <w:r/>
            <w:r>
              <w:rPr/>
            </w:r>
            <w:r>
              <w:rPr>
                <w:b w:val="0"/>
              </w:rPr>
              <w:t>Jumlah MK</w:t>
            </w:r>
          </w:p>
        </w:tc>
        <w:tc>
          <w:tcPr>
            <w:tcW w:type="dxa" w:w="1234"/>
          </w:tcPr>
          <w:p>
            <w:pPr/>
            <w:r/>
            <w:r>
              <w:rPr/>
            </w:r>
            <w:r>
              <w:rPr>
                <w:b w:val="0"/>
              </w:rPr>
              <w:t>≥4 (R5)</w:t>
            </w:r>
          </w:p>
        </w:tc>
        <w:tc>
          <w:tcPr>
            <w:tcW w:type="dxa" w:w="1234"/>
          </w:tcPr>
          <w:p>
            <w:pPr/>
            <w:r/>
            <w:r>
              <w:rPr/>
            </w:r>
            <w:r>
              <w:rPr>
                <w:b w:val="0"/>
              </w:rPr>
              <w:t>4</w:t>
            </w:r>
          </w:p>
        </w:tc>
        <w:tc>
          <w:tcPr>
            <w:tcW w:type="dxa" w:w="1234"/>
          </w:tcPr>
          <w:p>
            <w:pPr/>
            <w:r/>
            <w:r>
              <w:rPr/>
            </w:r>
            <w:r>
              <w:rPr>
                <w:b w:val="0"/>
              </w:rPr>
              <w:t>5</w:t>
            </w:r>
          </w:p>
        </w:tc>
        <w:tc>
          <w:tcPr>
            <w:tcW w:type="dxa" w:w="1234"/>
          </w:tcPr>
          <w:p>
            <w:pPr/>
            <w:r/>
            <w:r>
              <w:rPr/>
            </w:r>
            <w:r>
              <w:rPr>
                <w:b w:val="0"/>
              </w:rPr>
              <w:t>6</w:t>
            </w:r>
          </w:p>
        </w:tc>
      </w:tr>
      <w:tr>
        <w:tc>
          <w:tcPr>
            <w:tcW w:type="dxa" w:w="1234"/>
          </w:tcPr>
          <w:p>
            <w:pPr/>
            <w:r/>
            <w:r>
              <w:rPr/>
            </w:r>
            <w:r>
              <w:rPr>
                <w:b w:val="0"/>
              </w:rPr>
              <w:t>9</w:t>
            </w:r>
          </w:p>
        </w:tc>
        <w:tc>
          <w:tcPr>
            <w:tcW w:type="dxa" w:w="1234"/>
          </w:tcPr>
          <w:p>
            <w:pPr/>
            <w:r/>
            <w:r>
              <w:rPr/>
            </w:r>
            <w:r>
              <w:rPr>
                <w:b w:val="0"/>
              </w:rPr>
              <w:t>Mata kuliah memanfaatkan hasil penelitian/PkM/proyek/kasus [IKU]</w:t>
            </w:r>
          </w:p>
        </w:tc>
        <w:tc>
          <w:tcPr>
            <w:tcW w:type="dxa" w:w="1234"/>
          </w:tcPr>
          <w:p>
            <w:pPr/>
            <w:r/>
            <w:r>
              <w:rPr/>
            </w:r>
            <w:r>
              <w:rPr>
                <w:b w:val="0"/>
              </w:rPr>
              <w:t>% dari seluruh MK</w:t>
            </w:r>
          </w:p>
        </w:tc>
        <w:tc>
          <w:tcPr>
            <w:tcW w:type="dxa" w:w="1234"/>
          </w:tcPr>
          <w:p>
            <w:pPr/>
            <w:r/>
            <w:r>
              <w:rPr/>
            </w:r>
            <w:r>
              <w:rPr>
                <w:b w:val="0"/>
              </w:rPr>
              <w:t>≥10 (R2)</w:t>
            </w:r>
          </w:p>
        </w:tc>
        <w:tc>
          <w:tcPr>
            <w:tcW w:type="dxa" w:w="1234"/>
          </w:tcPr>
          <w:p>
            <w:pPr/>
            <w:r/>
            <w:r>
              <w:rPr/>
            </w:r>
            <w:r>
              <w:rPr>
                <w:b w:val="0"/>
              </w:rPr>
              <w:t>25</w:t>
            </w:r>
          </w:p>
        </w:tc>
        <w:tc>
          <w:tcPr>
            <w:tcW w:type="dxa" w:w="1234"/>
          </w:tcPr>
          <w:p>
            <w:pPr/>
            <w:r/>
            <w:r>
              <w:rPr/>
            </w:r>
            <w:r>
              <w:rPr>
                <w:b w:val="0"/>
              </w:rPr>
              <w:t>28</w:t>
            </w:r>
          </w:p>
        </w:tc>
        <w:tc>
          <w:tcPr>
            <w:tcW w:type="dxa" w:w="1234"/>
          </w:tcPr>
          <w:p>
            <w:pPr/>
            <w:r/>
            <w:r>
              <w:rPr/>
            </w:r>
            <w:r>
              <w:rPr>
                <w:b w:val="0"/>
              </w:rPr>
              <w:t>30</w:t>
            </w:r>
          </w:p>
        </w:tc>
      </w:tr>
      <w:tr>
        <w:tc>
          <w:tcPr>
            <w:tcW w:type="dxa" w:w="1234"/>
          </w:tcPr>
          <w:p>
            <w:pPr/>
            <w:r/>
            <w:r>
              <w:rPr/>
            </w:r>
            <w:r>
              <w:rPr>
                <w:b w:val="0"/>
              </w:rPr>
              <w:t>10</w:t>
            </w:r>
          </w:p>
        </w:tc>
        <w:tc>
          <w:tcPr>
            <w:tcW w:type="dxa" w:w="1234"/>
          </w:tcPr>
          <w:p>
            <w:pPr/>
            <w:r/>
            <w:r>
              <w:rPr/>
            </w:r>
            <w:r>
              <w:rPr>
                <w:b w:val="0"/>
              </w:rPr>
              <w:t>Beban belajar minimal program sarjana [IKU]</w:t>
            </w:r>
          </w:p>
        </w:tc>
        <w:tc>
          <w:tcPr>
            <w:tcW w:type="dxa" w:w="1234"/>
          </w:tcPr>
          <w:p>
            <w:pPr/>
            <w:r/>
            <w:r>
              <w:rPr/>
            </w:r>
            <w:r>
              <w:rPr>
                <w:b w:val="0"/>
              </w:rPr>
              <w:t>SKS</w:t>
            </w:r>
          </w:p>
        </w:tc>
        <w:tc>
          <w:tcPr>
            <w:tcW w:type="dxa" w:w="1234"/>
          </w:tcPr>
          <w:p>
            <w:pPr/>
            <w:r/>
            <w:r>
              <w:rPr/>
            </w:r>
            <w:r>
              <w:rPr>
                <w:b w:val="0"/>
              </w:rPr>
              <w:t>≥144 (R5)</w:t>
            </w:r>
          </w:p>
        </w:tc>
        <w:tc>
          <w:tcPr>
            <w:tcW w:type="dxa" w:w="1234"/>
          </w:tcPr>
          <w:p>
            <w:pPr/>
            <w:r/>
            <w:r>
              <w:rPr/>
            </w:r>
            <w:r>
              <w:rPr>
                <w:b w:val="0"/>
              </w:rPr>
              <w:t>146</w:t>
            </w:r>
          </w:p>
        </w:tc>
        <w:tc>
          <w:tcPr>
            <w:tcW w:type="dxa" w:w="1234"/>
          </w:tcPr>
          <w:p>
            <w:pPr/>
            <w:r/>
            <w:r>
              <w:rPr/>
            </w:r>
            <w:r>
              <w:rPr>
                <w:b w:val="0"/>
              </w:rPr>
              <w:t>146</w:t>
            </w:r>
          </w:p>
        </w:tc>
        <w:tc>
          <w:tcPr>
            <w:tcW w:type="dxa" w:w="1234"/>
          </w:tcPr>
          <w:p>
            <w:pPr/>
            <w:r/>
            <w:r>
              <w:rPr/>
            </w:r>
            <w:r>
              <w:rPr>
                <w:b w:val="0"/>
              </w:rPr>
              <w:t>146</w:t>
            </w:r>
          </w:p>
        </w:tc>
      </w:tr>
      <w:tr>
        <w:tc>
          <w:tcPr>
            <w:tcW w:type="dxa" w:w="1234"/>
          </w:tcPr>
          <w:p>
            <w:pPr/>
            <w:r/>
            <w:r>
              <w:rPr/>
            </w:r>
            <w:r>
              <w:rPr>
                <w:b w:val="0"/>
              </w:rPr>
              <w:t>11</w:t>
            </w:r>
          </w:p>
        </w:tc>
        <w:tc>
          <w:tcPr>
            <w:tcW w:type="dxa" w:w="1234"/>
          </w:tcPr>
          <w:p>
            <w:pPr/>
            <w:r/>
            <w:r>
              <w:rPr/>
            </w:r>
            <w:r>
              <w:rPr>
                <w:b w:val="0"/>
              </w:rPr>
              <w:t>Jumlah minimal pertemuan per semester [IKU]</w:t>
            </w:r>
          </w:p>
        </w:tc>
        <w:tc>
          <w:tcPr>
            <w:tcW w:type="dxa" w:w="1234"/>
          </w:tcPr>
          <w:p>
            <w:pPr/>
            <w:r/>
            <w:r>
              <w:rPr/>
            </w:r>
            <w:r>
              <w:rPr>
                <w:b w:val="0"/>
              </w:rPr>
              <w:t>Kali</w:t>
            </w:r>
          </w:p>
        </w:tc>
        <w:tc>
          <w:tcPr>
            <w:tcW w:type="dxa" w:w="1234"/>
          </w:tcPr>
          <w:p>
            <w:pPr/>
            <w:r/>
            <w:r>
              <w:rPr/>
            </w:r>
            <w:r>
              <w:rPr>
                <w:b w:val="0"/>
              </w:rPr>
              <w:t>16 (R5)</w:t>
            </w:r>
          </w:p>
        </w:tc>
        <w:tc>
          <w:tcPr>
            <w:tcW w:type="dxa" w:w="1234"/>
          </w:tcPr>
          <w:p>
            <w:pPr/>
            <w:r/>
            <w:r>
              <w:rPr/>
            </w:r>
            <w:r>
              <w:rPr>
                <w:b w:val="0"/>
              </w:rPr>
              <w:t>16</w:t>
            </w:r>
          </w:p>
        </w:tc>
        <w:tc>
          <w:tcPr>
            <w:tcW w:type="dxa" w:w="1234"/>
          </w:tcPr>
          <w:p>
            <w:pPr/>
            <w:r/>
            <w:r>
              <w:rPr/>
            </w:r>
            <w:r>
              <w:rPr>
                <w:b w:val="0"/>
              </w:rPr>
              <w:t>16</w:t>
            </w:r>
          </w:p>
        </w:tc>
        <w:tc>
          <w:tcPr>
            <w:tcW w:type="dxa" w:w="1234"/>
          </w:tcPr>
          <w:p>
            <w:pPr/>
            <w:r/>
            <w:r>
              <w:rPr/>
            </w:r>
            <w:r>
              <w:rPr>
                <w:b w:val="0"/>
              </w:rPr>
              <w:t>16</w:t>
            </w:r>
          </w:p>
        </w:tc>
      </w:tr>
      <w:tr>
        <w:tc>
          <w:tcPr>
            <w:tcW w:type="dxa" w:w="1234"/>
          </w:tcPr>
          <w:p>
            <w:pPr/>
            <w:r/>
            <w:r>
              <w:rPr/>
            </w:r>
            <w:r>
              <w:rPr>
                <w:b w:val="0"/>
              </w:rPr>
              <w:t>12</w:t>
            </w:r>
          </w:p>
        </w:tc>
        <w:tc>
          <w:tcPr>
            <w:tcW w:type="dxa" w:w="1234"/>
          </w:tcPr>
          <w:p>
            <w:pPr/>
            <w:r/>
            <w:r>
              <w:rPr/>
            </w:r>
            <w:r>
              <w:rPr>
                <w:b w:val="0"/>
              </w:rPr>
              <w:t>Persentase Jam Pembelajaran Praktik (PJP) [IKU - baru]</w:t>
            </w:r>
          </w:p>
        </w:tc>
        <w:tc>
          <w:tcPr>
            <w:tcW w:type="dxa" w:w="1234"/>
          </w:tcPr>
          <w:p>
            <w:pPr/>
            <w:r/>
            <w:r>
              <w:rPr/>
            </w:r>
            <w:r>
              <w:rPr>
                <w:b w:val="0"/>
              </w:rPr>
              <w:t>%</w:t>
            </w:r>
          </w:p>
        </w:tc>
        <w:tc>
          <w:tcPr>
            <w:tcW w:type="dxa" w:w="1234"/>
          </w:tcPr>
          <w:p>
            <w:pPr/>
            <w:r/>
            <w:r>
              <w:rPr/>
            </w:r>
            <w:r>
              <w:rPr>
                <w:b w:val="0"/>
              </w:rPr>
              <w:t>20-50 (R1/R2)</w:t>
            </w:r>
          </w:p>
        </w:tc>
        <w:tc>
          <w:tcPr>
            <w:tcW w:type="dxa" w:w="1234"/>
          </w:tcPr>
          <w:p>
            <w:pPr/>
            <w:r/>
            <w:r>
              <w:rPr/>
            </w:r>
            <w:r>
              <w:rPr>
                <w:b w:val="0"/>
              </w:rPr>
              <w:t>20</w:t>
            </w:r>
          </w:p>
        </w:tc>
        <w:tc>
          <w:tcPr>
            <w:tcW w:type="dxa" w:w="1234"/>
          </w:tcPr>
          <w:p>
            <w:pPr/>
            <w:r/>
            <w:r>
              <w:rPr/>
            </w:r>
            <w:r>
              <w:rPr>
                <w:b w:val="0"/>
              </w:rPr>
              <w:t>25</w:t>
            </w:r>
          </w:p>
        </w:tc>
        <w:tc>
          <w:tcPr>
            <w:tcW w:type="dxa" w:w="1234"/>
          </w:tcPr>
          <w:p>
            <w:pPr/>
            <w:r/>
            <w:r>
              <w:rPr/>
            </w:r>
            <w:r>
              <w:rPr>
                <w:b w:val="0"/>
              </w:rPr>
              <w:t>30</w:t>
            </w:r>
          </w:p>
        </w:tc>
      </w:tr>
      <w:tr>
        <w:tc>
          <w:tcPr>
            <w:tcW w:type="dxa" w:w="1234"/>
          </w:tcPr>
          <w:p>
            <w:pPr/>
            <w:r/>
            <w:r>
              <w:rPr/>
            </w:r>
            <w:r>
              <w:rPr>
                <w:b w:val="0"/>
              </w:rPr>
              <w:t>13</w:t>
            </w:r>
          </w:p>
        </w:tc>
        <w:tc>
          <w:tcPr>
            <w:tcW w:type="dxa" w:w="1234"/>
          </w:tcPr>
          <w:p>
            <w:pPr/>
            <w:r/>
            <w:r>
              <w:rPr/>
            </w:r>
            <w:r>
              <w:rPr>
                <w:b w:val="0"/>
              </w:rPr>
              <w:t>Kelengkapan dokumen perencanaan MBKM [IKU - baru]</w:t>
            </w:r>
          </w:p>
        </w:tc>
        <w:tc>
          <w:tcPr>
            <w:tcW w:type="dxa" w:w="1234"/>
          </w:tcPr>
          <w:p>
            <w:pPr/>
            <w:r/>
            <w:r>
              <w:rPr/>
            </w:r>
            <w:r>
              <w:rPr>
                <w:b w:val="0"/>
              </w:rPr>
              <w:t>Jumlah dokumen dari 6</w:t>
            </w:r>
          </w:p>
        </w:tc>
        <w:tc>
          <w:tcPr>
            <w:tcW w:type="dxa" w:w="1234"/>
          </w:tcPr>
          <w:p>
            <w:pPr/>
            <w:r/>
            <w:r>
              <w:rPr/>
            </w:r>
            <w:r>
              <w:rPr>
                <w:b w:val="0"/>
              </w:rPr>
              <w:t>5-6 dari 6 (R1)</w:t>
            </w:r>
          </w:p>
        </w:tc>
        <w:tc>
          <w:tcPr>
            <w:tcW w:type="dxa" w:w="1234"/>
          </w:tcPr>
          <w:p>
            <w:pPr/>
            <w:r/>
            <w:r>
              <w:rPr/>
            </w:r>
            <w:r>
              <w:rPr>
                <w:b w:val="0"/>
              </w:rPr>
              <w:t>5</w:t>
            </w:r>
          </w:p>
        </w:tc>
        <w:tc>
          <w:tcPr>
            <w:tcW w:type="dxa" w:w="1234"/>
          </w:tcPr>
          <w:p>
            <w:pPr/>
            <w:r/>
            <w:r>
              <w:rPr/>
            </w:r>
            <w:r>
              <w:rPr>
                <w:b w:val="0"/>
              </w:rPr>
              <w:t>6</w:t>
            </w:r>
          </w:p>
        </w:tc>
        <w:tc>
          <w:tcPr>
            <w:tcW w:type="dxa" w:w="1234"/>
          </w:tcPr>
          <w:p>
            <w:pPr/>
            <w:r/>
            <w:r>
              <w:rPr/>
            </w:r>
            <w:r>
              <w:rPr>
                <w:b w:val="0"/>
              </w:rPr>
              <w:t>6</w:t>
            </w:r>
          </w:p>
        </w:tc>
      </w:tr>
      <w:tr>
        <w:tc>
          <w:tcPr>
            <w:tcW w:type="dxa" w:w="1234"/>
          </w:tcPr>
          <w:p>
            <w:pPr/>
            <w:r/>
            <w:r>
              <w:rPr/>
            </w:r>
            <w:r>
              <w:rPr>
                <w:b w:val="0"/>
              </w:rPr>
              <w:t>14</w:t>
            </w:r>
          </w:p>
        </w:tc>
        <w:tc>
          <w:tcPr>
            <w:tcW w:type="dxa" w:w="1234"/>
          </w:tcPr>
          <w:p>
            <w:pPr/>
            <w:r/>
            <w:r>
              <w:rPr/>
            </w:r>
            <w:r>
              <w:rPr>
                <w:b w:val="0"/>
              </w:rPr>
              <w:t>Pemenuhan aspek monev pelaksanaan MBKM [IKU - baru]</w:t>
            </w:r>
          </w:p>
        </w:tc>
        <w:tc>
          <w:tcPr>
            <w:tcW w:type="dxa" w:w="1234"/>
          </w:tcPr>
          <w:p>
            <w:pPr/>
            <w:r/>
            <w:r>
              <w:rPr/>
            </w:r>
            <w:r>
              <w:rPr>
                <w:b w:val="0"/>
              </w:rPr>
              <w:t>Jumlah aspek dari 4</w:t>
            </w:r>
          </w:p>
        </w:tc>
        <w:tc>
          <w:tcPr>
            <w:tcW w:type="dxa" w:w="1234"/>
          </w:tcPr>
          <w:p>
            <w:pPr/>
            <w:r/>
            <w:r>
              <w:rPr/>
            </w:r>
            <w:r>
              <w:rPr>
                <w:b w:val="0"/>
              </w:rPr>
              <w:t>4 dari 4 (R1)</w:t>
            </w:r>
          </w:p>
        </w:tc>
        <w:tc>
          <w:tcPr>
            <w:tcW w:type="dxa" w:w="1234"/>
          </w:tcPr>
          <w:p>
            <w:pPr/>
            <w:r/>
            <w:r>
              <w:rPr/>
            </w:r>
            <w:r>
              <w:rPr>
                <w:b w:val="0"/>
              </w:rPr>
              <w:t>3</w:t>
            </w:r>
          </w:p>
        </w:tc>
        <w:tc>
          <w:tcPr>
            <w:tcW w:type="dxa" w:w="1234"/>
          </w:tcPr>
          <w:p>
            <w:pPr/>
            <w:r/>
            <w:r>
              <w:rPr/>
            </w:r>
            <w:r>
              <w:rPr>
                <w:b w:val="0"/>
              </w:rPr>
              <w:t>4</w:t>
            </w:r>
          </w:p>
        </w:tc>
        <w:tc>
          <w:tcPr>
            <w:tcW w:type="dxa" w:w="1234"/>
          </w:tcPr>
          <w:p>
            <w:pPr/>
            <w:r/>
            <w:r>
              <w:rPr/>
            </w:r>
            <w:r>
              <w:rPr>
                <w:b w:val="0"/>
              </w:rPr>
              <w:t>4</w:t>
            </w:r>
          </w:p>
        </w:tc>
      </w:tr>
      <w:tr>
        <w:tc>
          <w:tcPr>
            <w:tcW w:type="dxa" w:w="1234"/>
          </w:tcPr>
          <w:p>
            <w:pPr/>
            <w:r/>
            <w:r>
              <w:rPr/>
            </w:r>
            <w:r>
              <w:rPr>
                <w:b w:val="0"/>
              </w:rPr>
              <w:t>15</w:t>
            </w:r>
          </w:p>
        </w:tc>
        <w:tc>
          <w:tcPr>
            <w:tcW w:type="dxa" w:w="1234"/>
          </w:tcPr>
          <w:p>
            <w:pPr/>
            <w:r/>
            <w:r>
              <w:rPr/>
            </w:r>
            <w:r>
              <w:rPr>
                <w:b w:val="0"/>
              </w:rPr>
              <w:t>Mahasiswa mengikuti kegiatan MBKM [IKU - baru]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15</w:t>
            </w:r>
          </w:p>
        </w:tc>
        <w:tc>
          <w:tcPr>
            <w:tcW w:type="dxa" w:w="1234"/>
          </w:tcPr>
          <w:p>
            <w:pPr/>
            <w:r/>
            <w:r>
              <w:rPr/>
            </w:r>
            <w:r>
              <w:rPr>
                <w:b w:val="0"/>
              </w:rPr>
              <w:t>20</w:t>
            </w:r>
          </w:p>
        </w:tc>
        <w:tc>
          <w:tcPr>
            <w:tcW w:type="dxa" w:w="1234"/>
          </w:tcPr>
          <w:p>
            <w:pPr/>
            <w:r/>
            <w:r>
              <w:rPr/>
            </w:r>
            <w:r>
              <w:rPr>
                <w:b w:val="0"/>
              </w:rPr>
              <w:t>25</w:t>
            </w:r>
          </w:p>
        </w:tc>
      </w:tr>
      <w:tr>
        <w:tc>
          <w:tcPr>
            <w:tcW w:type="dxa" w:w="1234"/>
          </w:tcPr>
          <w:p>
            <w:pPr/>
            <w:r/>
            <w:r>
              <w:rPr/>
            </w:r>
            <w:r>
              <w:rPr>
                <w:b w:val="0"/>
              </w:rPr>
              <w:t>16</w:t>
            </w:r>
          </w:p>
        </w:tc>
        <w:tc>
          <w:tcPr>
            <w:tcW w:type="dxa" w:w="1234"/>
          </w:tcPr>
          <w:p>
            <w:pPr/>
            <w:r/>
            <w:r>
              <w:rPr/>
            </w:r>
            <w:r>
              <w:rPr>
                <w:b w:val="0"/>
              </w:rPr>
              <w:t>SKS yang dapat diakui melalui RPL [IKT - baru]</w:t>
            </w:r>
          </w:p>
        </w:tc>
        <w:tc>
          <w:tcPr>
            <w:tcW w:type="dxa" w:w="1234"/>
          </w:tcPr>
          <w:p>
            <w:pPr/>
            <w:r/>
            <w:r>
              <w:rPr/>
            </w:r>
            <w:r>
              <w:rPr>
                <w:b w:val="0"/>
              </w:rPr>
              <w:t>% maksimal</w:t>
            </w:r>
          </w:p>
        </w:tc>
        <w:tc>
          <w:tcPr>
            <w:tcW w:type="dxa" w:w="1234"/>
          </w:tcPr>
          <w:p>
            <w:pPr/>
            <w:r/>
            <w:r>
              <w:rPr/>
            </w:r>
            <w:r>
              <w:rPr>
                <w:b w:val="0"/>
              </w:rPr>
              <w:t>maks 70 (R5)</w:t>
            </w:r>
          </w:p>
        </w:tc>
        <w:tc>
          <w:tcPr>
            <w:tcW w:type="dxa" w:w="1234"/>
          </w:tcPr>
          <w:p>
            <w:pPr/>
            <w:r/>
            <w:r>
              <w:rPr/>
            </w:r>
            <w:r>
              <w:rPr>
                <w:b w:val="0"/>
              </w:rPr>
              <w:t>50</w:t>
            </w:r>
          </w:p>
        </w:tc>
        <w:tc>
          <w:tcPr>
            <w:tcW w:type="dxa" w:w="1234"/>
          </w:tcPr>
          <w:p>
            <w:pPr/>
            <w:r/>
            <w:r>
              <w:rPr/>
            </w:r>
            <w:r>
              <w:rPr>
                <w:b w:val="0"/>
              </w:rPr>
              <w:t>60</w:t>
            </w:r>
          </w:p>
        </w:tc>
        <w:tc>
          <w:tcPr>
            <w:tcW w:type="dxa" w:w="1234"/>
          </w:tcPr>
          <w:p>
            <w:pPr/>
            <w:r/>
            <w:r>
              <w:rPr/>
            </w:r>
            <w:r>
              <w:rPr>
                <w:b w:val="0"/>
              </w:rPr>
              <w:t>70</w:t>
            </w:r>
          </w:p>
        </w:tc>
      </w:tr>
      <w:tr>
        <w:tc>
          <w:tcPr>
            <w:tcW w:type="dxa" w:w="1234"/>
          </w:tcPr>
          <w:p>
            <w:pPr/>
            <w:r/>
            <w:r>
              <w:rPr/>
            </w:r>
            <w:r>
              <w:rPr>
                <w:b w:val="0"/>
              </w:rPr>
              <w:t>17</w:t>
            </w:r>
          </w:p>
        </w:tc>
        <w:tc>
          <w:tcPr>
            <w:tcW w:type="dxa" w:w="1234"/>
          </w:tcPr>
          <w:p>
            <w:pPr/>
            <w:r/>
            <w:r>
              <w:rPr/>
            </w:r>
            <w:r>
              <w:rPr>
                <w:b w:val="0"/>
              </w:rPr>
              <w:t>Mahasiswa pemanfaat RPL per tahun [IKT - baru]</w:t>
            </w:r>
          </w:p>
        </w:tc>
        <w:tc>
          <w:tcPr>
            <w:tcW w:type="dxa" w:w="1234"/>
          </w:tcPr>
          <w:p>
            <w:pPr/>
            <w:r/>
            <w:r>
              <w:rPr/>
            </w:r>
            <w:r>
              <w:rPr>
                <w:b w:val="0"/>
              </w:rPr>
              <w:t>Jumlah orang</w:t>
            </w:r>
          </w:p>
        </w:tc>
        <w:tc>
          <w:tcPr>
            <w:tcW w:type="dxa" w:w="1234"/>
          </w:tcPr>
          <w:p>
            <w:pPr/>
            <w:r/>
            <w:r>
              <w:rPr/>
            </w:r>
            <w:r>
              <w:rPr>
                <w:b w:val="0"/>
              </w:rPr>
              <w:t>-</w:t>
            </w:r>
          </w:p>
        </w:tc>
        <w:tc>
          <w:tcPr>
            <w:tcW w:type="dxa" w:w="1234"/>
          </w:tcPr>
          <w:p>
            <w:pPr/>
            <w:r/>
            <w:r>
              <w:rPr/>
            </w:r>
            <w:r>
              <w:rPr>
                <w:b w:val="0"/>
              </w:rPr>
              <w:t>5</w:t>
            </w:r>
          </w:p>
        </w:tc>
        <w:tc>
          <w:tcPr>
            <w:tcW w:type="dxa" w:w="1234"/>
          </w:tcPr>
          <w:p>
            <w:pPr/>
            <w:r/>
            <w:r>
              <w:rPr/>
            </w:r>
            <w:r>
              <w:rPr>
                <w:b w:val="0"/>
              </w:rPr>
              <w:t>8</w:t>
            </w:r>
          </w:p>
        </w:tc>
        <w:tc>
          <w:tcPr>
            <w:tcW w:type="dxa" w:w="1234"/>
          </w:tcPr>
          <w:p>
            <w:pPr/>
            <w:r/>
            <w:r>
              <w:rPr/>
            </w:r>
            <w:r>
              <w:rPr>
                <w:b w:val="0"/>
              </w:rPr>
              <w:t>10</w:t>
            </w:r>
          </w:p>
        </w:tc>
      </w:tr>
    </w:tbl>
    <w:p>
      <w:pPr/>
    </w:p>
    <w:p>
      <w:pPr>
        <w:spacing w:before="320" w:after="120"/>
      </w:pPr>
      <w:r>
        <w:rPr>
          <w:b/>
          <w:sz w:val="28"/>
        </w:rPr>
        <w:t>STANDAR PENILAIAN PEMBELAJARAN</w:t>
      </w:r>
    </w:p>
    <w:p>
      <w:pPr>
        <w:spacing w:before="200" w:after="80"/>
      </w:pPr>
      <w:r>
        <w:rPr>
          <w:b/>
          <w:sz w:val="25"/>
        </w:rPr>
        <w:t>1. Daftar Istilah</w:t>
      </w:r>
    </w:p>
    <w:p>
      <w:pPr>
        <w:pStyle w:val="ListBullet"/>
        <w:spacing w:after="80"/>
      </w:pPr>
      <w:r>
        <w:rPr/>
        <w:t>Penilaian Edukatif adalah penilaian yang memotivasi mahasiswa memperbaiki perencanaan dan cara belajar serta meraih capaian pembelajaran secara maksimal.</w:t>
      </w:r>
    </w:p>
    <w:p>
      <w:pPr>
        <w:pStyle w:val="ListBullet"/>
        <w:spacing w:after="80"/>
      </w:pPr>
      <w:r>
        <w:rPr/>
        <w:t>Penilaian Objektif adalah penilaian berdasarkan standar yang disepakati antara dosen dan mahasiswa, bebas dari pengaruh subjektivitas penilai.</w:t>
      </w:r>
    </w:p>
    <w:p>
      <w:pPr>
        <w:pStyle w:val="ListBullet"/>
        <w:spacing w:after="80"/>
      </w:pPr>
      <w:r>
        <w:rPr/>
        <w:t>Penilaian Akuntabel adalah penilaian yang dilaksanakan sesuai prosedur dan kriteria jelas, disepakati pada awal perkuliahan, dan dipahami mahasiswa.</w:t>
      </w:r>
    </w:p>
    <w:p>
      <w:pPr>
        <w:pStyle w:val="ListBullet"/>
        <w:spacing w:after="80"/>
      </w:pPr>
      <w:r>
        <w:rPr/>
        <w:t>Penilaian Transparan adalah penilaian yang prosedur dan hasilnya dapat diakses oleh semua pemangku kepentingan.</w:t>
      </w:r>
    </w:p>
    <w:p>
      <w:pPr>
        <w:pStyle w:val="ListBullet"/>
        <w:spacing w:after="80"/>
      </w:pPr>
      <w:r>
        <w:rPr/>
        <w:t>Indeks Prestasi Semester (IPS) dan Indeks Prestasi Kumulatif (IPK) adalah ukuran keberhasilan studi mahasiswa yang dihitung berdasarkan bobot nilai dan satuan kredit semester yang ditempuh.</w:t>
      </w:r>
    </w:p>
    <w:p>
      <w:pPr>
        <w:pStyle w:val="ListBullet"/>
        <w:spacing w:after="80"/>
      </w:pPr>
      <w:r>
        <w:rPr/>
        <w:t>Surat Keterangan Pendamping Ijazah (SKPI) adalah dokumen yang memuat informasi capaian pembelajaran dan prestasi lulusan yang menyertai ijazah.</w:t>
      </w:r>
    </w:p>
    <w:p>
      <w:pPr>
        <w:pStyle w:val="ListBullet"/>
        <w:spacing w:after="80"/>
      </w:pPr>
      <w:r>
        <w:rPr/>
        <w:t>Kelulusan Tepat Waktu adalah persentase mahasiswa yang menyelesaikan studi sesuai dengan masa studi normal program studi.</w:t>
      </w:r>
    </w:p>
    <w:p>
      <w:pPr>
        <w:spacing w:before="200" w:after="80"/>
      </w:pPr>
      <w:r>
        <w:rPr>
          <w:b/>
          <w:sz w:val="25"/>
        </w:rPr>
        <w:t>2. Pihak Yang Bertanggung Jawab Untuk Memenuhi Standar</w:t>
      </w:r>
    </w:p>
    <w:p>
      <w:pPr>
        <w:pStyle w:val="ListBullet"/>
        <w:spacing w:after="80"/>
      </w:pPr>
      <w:r>
        <w:rPr/>
        <w:t>Wakil Rektor Bidang Akademik, dalam menetapkan kebijakan dan tenggat penilaian pembelajaran.</w:t>
      </w:r>
    </w:p>
    <w:p>
      <w:pPr>
        <w:pStyle w:val="ListBullet"/>
        <w:spacing w:after="80"/>
      </w:pPr>
      <w:r>
        <w:rPr/>
        <w:t>Dekan FTII dan Ketua Program Studi, dalam pemantauan pelaksanaan penilaian dan kelulusan tepat waktu.</w:t>
      </w:r>
    </w:p>
    <w:p>
      <w:pPr>
        <w:pStyle w:val="ListBullet"/>
        <w:spacing w:after="80"/>
      </w:pPr>
      <w:r>
        <w:rPr/>
        <w:t>Dosen, dalam penyusunan instrumen penilaian, pelaksanaan ujian, dan pengumuman hasil penilaian.</w:t>
      </w:r>
    </w:p>
    <w:p>
      <w:pPr>
        <w:pStyle w:val="ListBullet"/>
        <w:spacing w:after="80"/>
      </w:pPr>
      <w:r>
        <w:rPr/>
        <w:t>Dosen Pembimbing Akademik, dalam pemantauan kemajuan studi mahasiswa (IPS/IPK/SKS/tugas akhir).</w:t>
      </w:r>
    </w:p>
    <w:p>
      <w:pPr>
        <w:pStyle w:val="ListBullet"/>
        <w:spacing w:after="80"/>
      </w:pPr>
      <w:r>
        <w:rPr/>
        <w:t>Direktorat Administrasi Akademik (DAA), dalam penerbitan ijazah, transkrip akademik, dan SKPI.</w:t>
      </w:r>
    </w:p>
    <w:p>
      <w:pPr>
        <w:pStyle w:val="ListBullet"/>
        <w:spacing w:after="80"/>
      </w:pPr>
      <w:r>
        <w:rPr/>
        <w:t>Direktorat Jaminan Mutu (DJM)/Unit Jaminan Mutu (UJM), dalam audit sampel dokumentasi penilaian.</w:t>
      </w:r>
    </w:p>
    <w:p>
      <w:pPr>
        <w:spacing w:before="200" w:after="80"/>
      </w:pPr>
      <w:r>
        <w:rPr>
          <w:b/>
          <w:sz w:val="25"/>
        </w:rPr>
        <w:t>3. Pernyataan Isi Standar Penilaian Pembelajaran</w:t>
      </w:r>
    </w:p>
    <w:p>
      <w:pPr>
        <w:pStyle w:val="ListNumber"/>
        <w:spacing w:after="120"/>
      </w:pPr>
      <w:r>
        <w:rPr/>
        <w:t>Program Studi Teknik Informatika wajib menjamin pelaksanaan penilaian pembelajaran memenuhi prinsip edukatif, objektif, akuntabel, dan transparan, dengan kesesuaian teknik dan instrumen penilaian terhadap capaian pembelajaran (dilengkapi bukti, rubrik, dan/atau portofolio) pada paling sedikit 80% mata kuliah pada tahun pertama, meningkat menuju 100% pada akhir periode standar.</w:t>
      </w:r>
    </w:p>
    <w:p>
      <w:pPr>
        <w:pStyle w:val="ListNumber"/>
        <w:spacing w:after="120"/>
      </w:pPr>
      <w:r>
        <w:rPr/>
        <w:t>Dosen wajib mengumumkan hasil penilaian pembelajaran (IPS/IPK) paling lambat 1 (satu) minggu setelah pelaksanaan ujian, lebih ketat dari ketentuan sebelumnya (2 minggu), guna menyetarakan dengan praktik terbaik rujukan eksternal.</w:t>
      </w:r>
    </w:p>
    <w:p>
      <w:pPr>
        <w:pStyle w:val="ListNumber"/>
        <w:spacing w:after="120"/>
      </w:pPr>
      <w:r>
        <w:rPr/>
        <w:t>Program Studi Teknik Informatika wajib mendokumentasikan laporan hasil penilaian seluruh lulusan serta menerbitkan ijazah, transkrip akademik, dan Surat Keterangan Pendamping Ijazah (SKPI) bagi 100% lulusan.</w:t>
      </w:r>
    </w:p>
    <w:p>
      <w:pPr>
        <w:pStyle w:val="ListNumber"/>
        <w:spacing w:after="120"/>
      </w:pPr>
      <w:r>
        <w:rPr/>
        <w:t>Program studi wajib mencapai persentase kelulusan tepat waktu paling sedikit 60% pada tahun pertama penerapan standar dan meningkat menjadi paling sedikit 65% pada tahun ketiga, angka yang diselaraskan dan identik dengan target Kelulusan Tepat Waktu pada Standar Luaran Pendidikan versi Unggul Program Studi Teknik Informatika FTII UNISBANK.</w:t>
      </w:r>
    </w:p>
    <w:p>
      <w:pPr>
        <w:spacing w:before="200" w:after="80"/>
      </w:pPr>
      <w:r>
        <w:rPr>
          <w:b/>
          <w:sz w:val="25"/>
        </w:rPr>
        <w:t>4. Strategi Pencapaian Standar</w:t>
      </w:r>
    </w:p>
    <w:p>
      <w:pPr>
        <w:pStyle w:val="ListNumber"/>
        <w:spacing w:after="120"/>
      </w:pPr>
      <w:r>
        <w:rPr/>
        <w:t>Rektor menetapkan kebijakan, standar, pedoman, dan peraturan Standar Penilaian Pembelajaran sebagai bagian dari SPMI Universitas, dengan ambang indikator disetarakan pada skor tertinggi instrumen LAM Teknik/Panduan SPMI Program Sarjana (R1) dan kriteria Unggul LAM INFOKOM.</w:t>
      </w:r>
    </w:p>
    <w:p>
      <w:pPr>
        <w:pStyle w:val="ListNumber"/>
        <w:spacing w:after="120"/>
      </w:pPr>
      <w:r>
        <w:rPr/>
        <w:t>Dosen menyusun instrumen penilaian dilengkapi rubrik dan/atau portofolio untuk setiap mata kuliah guna mencapai target 100% mata kuliah dengan dokumentasi penilaian lengkap, dipantau melalui audit sampel oleh DJM/UJM.</w:t>
      </w:r>
    </w:p>
    <w:p>
      <w:pPr>
        <w:pStyle w:val="ListNumber"/>
        <w:spacing w:after="120"/>
      </w:pPr>
      <w:r>
        <w:rPr/>
        <w:t>Wakil Rektor Bidang Akademik mempercepat tenggat pengumuman hasil penilaian dari 2 minggu menjadi 1 minggu melalui digitalisasi input dan validasi nilai pada sistem informasi akademik.</w:t>
      </w:r>
    </w:p>
    <w:p>
      <w:pPr>
        <w:pStyle w:val="ListNumber"/>
        <w:spacing w:after="120"/>
      </w:pPr>
      <w:r>
        <w:rPr/>
        <w:t>Dekan bersama Ketua Program Studi memantau kemajuan studi mahasiswa (IPS, SKS, tugas akhir) setiap semester melalui Dosen Pembimbing Akademik untuk mencapai kelulusan tepat waktu paling sedikit 60% menuju 65%, angka yang identik dengan target pada Standar Luaran Pendidikan versi Unggul.</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2024/2025</w:t>
            </w:r>
          </w:p>
        </w:tc>
        <w:tc>
          <w:tcPr>
            <w:tcW w:type="dxa" w:w="1234"/>
          </w:tcPr>
          <w:p>
            <w:pPr/>
            <w:r/>
            <w:r>
              <w:rPr/>
            </w:r>
            <w:r>
              <w:rPr>
                <w:b/>
              </w:rPr>
              <w:t>Target 2025/2026</w:t>
            </w:r>
          </w:p>
        </w:tc>
        <w:tc>
          <w:tcPr>
            <w:tcW w:type="dxa" w:w="1234"/>
          </w:tcPr>
          <w:p>
            <w:pPr/>
            <w:r/>
            <w:r>
              <w:rPr/>
            </w:r>
            <w:r>
              <w:rPr>
                <w:b/>
              </w:rPr>
              <w:t>Target 2026/2027</w:t>
            </w:r>
          </w:p>
        </w:tc>
      </w:tr>
      <w:tr>
        <w:tc>
          <w:tcPr>
            <w:tcW w:type="dxa" w:w="1234"/>
          </w:tcPr>
          <w:p>
            <w:pPr/>
            <w:r/>
            <w:r>
              <w:rPr/>
            </w:r>
            <w:r>
              <w:rPr>
                <w:b w:val="0"/>
              </w:rPr>
              <w:t>18</w:t>
            </w:r>
          </w:p>
        </w:tc>
        <w:tc>
          <w:tcPr>
            <w:tcW w:type="dxa" w:w="1234"/>
          </w:tcPr>
          <w:p>
            <w:pPr/>
            <w:r/>
            <w:r>
              <w:rPr/>
            </w:r>
            <w:r>
              <w:rPr>
                <w:b w:val="0"/>
              </w:rPr>
              <w:t>Mata kuliah dengan dokumentasi penilaian lengkap (bukti/rubrik/portofolio) [IKU - baru]</w:t>
            </w:r>
          </w:p>
        </w:tc>
        <w:tc>
          <w:tcPr>
            <w:tcW w:type="dxa" w:w="1234"/>
          </w:tcPr>
          <w:p>
            <w:pPr/>
            <w:r/>
            <w:r>
              <w:rPr/>
            </w:r>
            <w:r>
              <w:rPr>
                <w:b w:val="0"/>
              </w:rPr>
              <w:t>%</w:t>
            </w:r>
          </w:p>
        </w:tc>
        <w:tc>
          <w:tcPr>
            <w:tcW w:type="dxa" w:w="1234"/>
          </w:tcPr>
          <w:p>
            <w:pPr/>
            <w:r/>
            <w:r>
              <w:rPr/>
            </w:r>
            <w:r>
              <w:rPr>
                <w:b w:val="0"/>
              </w:rPr>
              <w:t>75-100 (R1)</w:t>
            </w:r>
          </w:p>
        </w:tc>
        <w:tc>
          <w:tcPr>
            <w:tcW w:type="dxa" w:w="1234"/>
          </w:tcPr>
          <w:p>
            <w:pPr/>
            <w:r/>
            <w:r>
              <w:rPr/>
            </w:r>
            <w:r>
              <w:rPr>
                <w:b w:val="0"/>
              </w:rPr>
              <w:t>80</w:t>
            </w:r>
          </w:p>
        </w:tc>
        <w:tc>
          <w:tcPr>
            <w:tcW w:type="dxa" w:w="1234"/>
          </w:tcPr>
          <w:p>
            <w:pPr/>
            <w:r/>
            <w:r>
              <w:rPr/>
            </w:r>
            <w:r>
              <w:rPr>
                <w:b w:val="0"/>
              </w:rPr>
              <w:t>90</w:t>
            </w:r>
          </w:p>
        </w:tc>
        <w:tc>
          <w:tcPr>
            <w:tcW w:type="dxa" w:w="1234"/>
          </w:tcPr>
          <w:p>
            <w:pPr/>
            <w:r/>
            <w:r>
              <w:rPr/>
            </w:r>
            <w:r>
              <w:rPr>
                <w:b w:val="0"/>
              </w:rPr>
              <w:t>100</w:t>
            </w:r>
          </w:p>
        </w:tc>
      </w:tr>
      <w:tr>
        <w:tc>
          <w:tcPr>
            <w:tcW w:type="dxa" w:w="1234"/>
          </w:tcPr>
          <w:p>
            <w:pPr/>
            <w:r/>
            <w:r>
              <w:rPr/>
            </w:r>
            <w:r>
              <w:rPr>
                <w:b w:val="0"/>
              </w:rPr>
              <w:t>19</w:t>
            </w:r>
          </w:p>
        </w:tc>
        <w:tc>
          <w:tcPr>
            <w:tcW w:type="dxa" w:w="1234"/>
          </w:tcPr>
          <w:p>
            <w:pPr/>
            <w:r/>
            <w:r>
              <w:rPr/>
            </w:r>
            <w:r>
              <w:rPr>
                <w:b w:val="0"/>
              </w:rPr>
              <w:t>Tenggat pengumuman hasil penilaian [IKU]</w:t>
            </w:r>
          </w:p>
        </w:tc>
        <w:tc>
          <w:tcPr>
            <w:tcW w:type="dxa" w:w="1234"/>
          </w:tcPr>
          <w:p>
            <w:pPr/>
            <w:r/>
            <w:r>
              <w:rPr/>
            </w:r>
            <w:r>
              <w:rPr>
                <w:b w:val="0"/>
              </w:rPr>
              <w:t>Minggu (maks)</w:t>
            </w:r>
          </w:p>
        </w:tc>
        <w:tc>
          <w:tcPr>
            <w:tcW w:type="dxa" w:w="1234"/>
          </w:tcPr>
          <w:p>
            <w:pPr/>
            <w:r/>
            <w:r>
              <w:rPr/>
            </w:r>
            <w:r>
              <w:rPr>
                <w:b w:val="0"/>
              </w:rPr>
              <w:t>maks 1 (R5)</w:t>
            </w:r>
          </w:p>
        </w:tc>
        <w:tc>
          <w:tcPr>
            <w:tcW w:type="dxa" w:w="1234"/>
          </w:tcPr>
          <w:p>
            <w:pPr/>
            <w:r/>
            <w:r>
              <w:rPr/>
            </w:r>
            <w:r>
              <w:rPr>
                <w:b w:val="0"/>
              </w:rPr>
              <w:t>1</w:t>
            </w:r>
          </w:p>
        </w:tc>
        <w:tc>
          <w:tcPr>
            <w:tcW w:type="dxa" w:w="1234"/>
          </w:tcPr>
          <w:p>
            <w:pPr/>
            <w:r/>
            <w:r>
              <w:rPr/>
            </w:r>
            <w:r>
              <w:rPr>
                <w:b w:val="0"/>
              </w:rPr>
              <w:t>1</w:t>
            </w:r>
          </w:p>
        </w:tc>
        <w:tc>
          <w:tcPr>
            <w:tcW w:type="dxa" w:w="1234"/>
          </w:tcPr>
          <w:p>
            <w:pPr/>
            <w:r/>
            <w:r>
              <w:rPr/>
            </w:r>
            <w:r>
              <w:rPr>
                <w:b w:val="0"/>
              </w:rPr>
              <w:t>1</w:t>
            </w:r>
          </w:p>
        </w:tc>
      </w:tr>
      <w:tr>
        <w:tc>
          <w:tcPr>
            <w:tcW w:type="dxa" w:w="1234"/>
          </w:tcPr>
          <w:p>
            <w:pPr/>
            <w:r/>
            <w:r>
              <w:rPr/>
            </w:r>
            <w:r>
              <w:rPr>
                <w:b w:val="0"/>
              </w:rPr>
              <w:t>20</w:t>
            </w:r>
          </w:p>
        </w:tc>
        <w:tc>
          <w:tcPr>
            <w:tcW w:type="dxa" w:w="1234"/>
          </w:tcPr>
          <w:p>
            <w:pPr/>
            <w:r/>
            <w:r>
              <w:rPr/>
            </w:r>
            <w:r>
              <w:rPr>
                <w:b w:val="0"/>
              </w:rPr>
              <w:t>Laporan hasil penilaian, ijazah, transkrip, SKPI seluruh lulusan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21</w:t>
            </w:r>
          </w:p>
        </w:tc>
        <w:tc>
          <w:tcPr>
            <w:tcW w:type="dxa" w:w="1234"/>
          </w:tcPr>
          <w:p>
            <w:pPr/>
            <w:r/>
            <w:r>
              <w:rPr/>
            </w:r>
            <w:r>
              <w:rPr>
                <w:b w:val="0"/>
              </w:rPr>
              <w:t>Persentase kelulusan tepat waktu (PTW) — disinkronkan dg Standar Luaran Pendidikan Unggul [IKU]</w:t>
            </w:r>
          </w:p>
        </w:tc>
        <w:tc>
          <w:tcPr>
            <w:tcW w:type="dxa" w:w="1234"/>
          </w:tcPr>
          <w:p>
            <w:pPr/>
            <w:r/>
            <w:r>
              <w:rPr/>
            </w:r>
            <w:r>
              <w:rPr>
                <w:b w:val="0"/>
              </w:rPr>
              <w:t>%</w:t>
            </w:r>
          </w:p>
        </w:tc>
        <w:tc>
          <w:tcPr>
            <w:tcW w:type="dxa" w:w="1234"/>
          </w:tcPr>
          <w:p>
            <w:pPr/>
            <w:r/>
            <w:r>
              <w:rPr/>
            </w:r>
            <w:r>
              <w:rPr>
                <w:b w:val="0"/>
              </w:rPr>
              <w:t>≥50 (R2/R5)</w:t>
            </w:r>
          </w:p>
        </w:tc>
        <w:tc>
          <w:tcPr>
            <w:tcW w:type="dxa" w:w="1234"/>
          </w:tcPr>
          <w:p>
            <w:pPr/>
            <w:r/>
            <w:r>
              <w:rPr/>
            </w:r>
            <w:r>
              <w:rPr>
                <w:b w:val="0"/>
              </w:rPr>
              <w:t>60</w:t>
            </w:r>
          </w:p>
        </w:tc>
        <w:tc>
          <w:tcPr>
            <w:tcW w:type="dxa" w:w="1234"/>
          </w:tcPr>
          <w:p>
            <w:pPr/>
            <w:r/>
            <w:r>
              <w:rPr/>
            </w:r>
            <w:r>
              <w:rPr>
                <w:b w:val="0"/>
              </w:rPr>
              <w:t>60</w:t>
            </w:r>
          </w:p>
        </w:tc>
        <w:tc>
          <w:tcPr>
            <w:tcW w:type="dxa" w:w="1234"/>
          </w:tcPr>
          <w:p>
            <w:pPr/>
            <w:r/>
            <w:r>
              <w:rPr/>
            </w:r>
            <w:r>
              <w:rPr>
                <w:b w:val="0"/>
              </w:rPr>
              <w:t>65</w:t>
            </w:r>
          </w:p>
        </w:tc>
      </w:tr>
    </w:tbl>
    <w:p>
      <w:pPr/>
    </w:p>
    <w:p>
      <w:pPr>
        <w:spacing w:before="320" w:after="120"/>
      </w:pPr>
      <w:r>
        <w:rPr>
          <w:b/>
          <w:sz w:val="28"/>
        </w:rPr>
        <w:t>STANDAR PENGELOLAAN PEMBELAJARAN</w:t>
      </w:r>
    </w:p>
    <w:p>
      <w:pPr>
        <w:spacing w:before="200" w:after="80"/>
      </w:pPr>
      <w:r>
        <w:rPr>
          <w:b/>
          <w:sz w:val="25"/>
        </w:rPr>
        <w:t>1. Daftar Istilah</w:t>
      </w:r>
    </w:p>
    <w:p>
      <w:pPr>
        <w:pStyle w:val="ListBullet"/>
        <w:spacing w:after="80"/>
      </w:pPr>
      <w:r>
        <w:rPr/>
        <w:t>Suasana Akademik adalah kondisi yang mendukung interaksi antara sivitas akademika yang sehat, ilmiah, inklusif, aman, nyaman, dan bebas dari kekerasan, diskriminasi, dan perundungan.</w:t>
      </w:r>
    </w:p>
    <w:p>
      <w:pPr>
        <w:pStyle w:val="ListBullet"/>
        <w:spacing w:after="80"/>
      </w:pPr>
      <w:r>
        <w:rPr/>
        <w:t>Satgas Pencegahan dan Penanganan Kekerasan Seksual (PPKS) adalah satuan tugas yang dibentuk untuk mencegah dan menangani kekerasan seksual di lingkungan perguruan tinggi sesuai Permendikbudristek Nomor 55 Tahun 2024.</w:t>
      </w:r>
    </w:p>
    <w:p>
      <w:pPr>
        <w:pStyle w:val="ListBullet"/>
        <w:spacing w:after="80"/>
      </w:pPr>
      <w:r>
        <w:rPr/>
        <w:t>Pangkalan Data Pendidikan Tinggi (PD DIKTI) adalah sistem informasi yang memuat data penyelenggaraan pendidikan tinggi seluruh perguruan tinggi di Indonesia, digunakan untuk pelaporan dan pemantauan resmi.</w:t>
      </w:r>
    </w:p>
    <w:p>
      <w:pPr>
        <w:pStyle w:val="ListBullet"/>
        <w:spacing w:after="80"/>
      </w:pPr>
      <w:r>
        <w:rPr/>
        <w:t>Monitoring dan Evaluasi (Monev) Pembelajaran adalah kegiatan pemantauan dan penilaian berkala terhadap pelaksanaan proses pembelajaran untuk memastikan kesesuaian dengan rencana dan standar mutu.</w:t>
      </w:r>
    </w:p>
    <w:p>
      <w:pPr>
        <w:pStyle w:val="ListBullet"/>
        <w:spacing w:after="80"/>
      </w:pPr>
      <w:r>
        <w:rPr/>
        <w:t>Siklus PPEPP adalah singkatan dari Penetapan, Pelaksanaan, Evaluasi, Pengendalian, dan Peningkatan standar, menjadi kerangka pengendalian mutu berkelanjutan dalam SPMI.</w:t>
      </w:r>
    </w:p>
    <w:p>
      <w:pPr>
        <w:spacing w:before="200" w:after="80"/>
      </w:pPr>
      <w:r>
        <w:rPr>
          <w:b/>
          <w:sz w:val="25"/>
        </w:rPr>
        <w:t>2. Pihak Yang Bertanggung Jawab Untuk Memenuhi Standar</w:t>
      </w:r>
    </w:p>
    <w:p>
      <w:pPr>
        <w:pStyle w:val="ListBullet"/>
        <w:spacing w:after="80"/>
      </w:pPr>
      <w:r>
        <w:rPr/>
        <w:t>Rektor, dalam mengoperasionalkan Satgas PPKS dan menetapkan kebijakan suasana akademik.</w:t>
      </w:r>
    </w:p>
    <w:p>
      <w:pPr>
        <w:pStyle w:val="ListBullet"/>
        <w:spacing w:after="80"/>
      </w:pPr>
      <w:r>
        <w:rPr/>
        <w:t>Direktorat Jaminan Mutu (DJM)/Unit Jaminan Mutu (UJM) Fakultas, dalam penyusunan pedoman suasana akademik dan pelaksanaan monitoring-evaluasi pembelajaran.</w:t>
      </w:r>
    </w:p>
    <w:p>
      <w:pPr>
        <w:pStyle w:val="ListBullet"/>
        <w:spacing w:after="80"/>
      </w:pPr>
      <w:r>
        <w:rPr/>
        <w:t>Fakultas dan Gugus Kendali Mutu (GKM) Program Studi, dalam pelaksanaan survei kepuasan mahasiswa dan kegiatan ilmiah terjadwal.</w:t>
      </w:r>
    </w:p>
    <w:p>
      <w:pPr>
        <w:pStyle w:val="ListBullet"/>
        <w:spacing w:after="80"/>
      </w:pPr>
      <w:r>
        <w:rPr/>
        <w:t>Direktorat Administrasi Akademik (DAA), dalam pelaporan Pangkalan Data Pendidikan Tinggi (PD DIKTI) setiap semester.</w:t>
      </w:r>
    </w:p>
    <w:p>
      <w:pPr>
        <w:pStyle w:val="ListBullet"/>
        <w:spacing w:after="80"/>
      </w:pPr>
      <w:r>
        <w:rPr/>
        <w:t>DPKPD bersama Direktorat Kemahasiswaan dan Pengembangan Bakat Kewirausahaan, dalam integrasi mata kuliah dan kegiatan kewirausahaan.</w:t>
      </w:r>
    </w:p>
    <w:p>
      <w:pPr>
        <w:spacing w:before="200" w:after="80"/>
      </w:pPr>
      <w:r>
        <w:rPr>
          <w:b/>
          <w:sz w:val="25"/>
        </w:rPr>
        <w:t>3. Pernyataan Isi Standar Pengelolaan Pembelajaran</w:t>
      </w:r>
    </w:p>
    <w:p>
      <w:pPr>
        <w:pStyle w:val="ListNumber"/>
        <w:spacing w:after="120"/>
      </w:pPr>
      <w:r>
        <w:rPr/>
        <w:t>Program Studi Teknik Informatika wajib memiliki kebijakan dan pedoman suasana akademik yang mendukung interaksi akademik sehat, ilmiah, inklusif, aman, nyaman, dan bebas dari kekerasan, diskriminasi, perundungan, serta kekerasan seksual.</w:t>
      </w:r>
    </w:p>
    <w:p>
      <w:pPr>
        <w:pStyle w:val="ListNumber"/>
        <w:spacing w:after="120"/>
      </w:pPr>
      <w:r>
        <w:rPr/>
        <w:t>Program Studi Teknik Informatika wajib menyelenggarakan kegiatan ilmiah terjadwal (kuliah umum, seminar, bedah buku, lokakarya) paling sedikit setiap 2 (dua) bulan pada tahun pertama, meningkat menjadi setiap bulan pada akhir periode standar.</w:t>
      </w:r>
    </w:p>
    <w:p>
      <w:pPr>
        <w:pStyle w:val="ListNumber"/>
        <w:spacing w:after="120"/>
      </w:pPr>
      <w:r>
        <w:rPr/>
        <w:t>Program Studi Teknik Informatika wajib melaksanakan survei kepuasan mahasiswa terhadap suasana akademik dan proses pendidikan dengan hasil kepuasan paling sedikit 75% pada tahun pertama, meningkat menjadi paling sedikit 85% pada akhir periode standar, dianalisis dan ditindaklanjuti paling sedikit 2 kali setiap semester.</w:t>
      </w:r>
    </w:p>
    <w:p>
      <w:pPr>
        <w:pStyle w:val="ListNumber"/>
        <w:spacing w:after="120"/>
      </w:pPr>
      <w:r>
        <w:rPr/>
        <w:t>Program Studi Teknik Informatika wajib menjamin tersedianya Satgas Pencegahan dan Penanganan Kekerasan Seksual (PPKS) sesuai Peraturan Menteri Pendidikan, Kebudayaan, Riset, dan Teknologi Nomor 55 Tahun 2024, sebagai nilai tambah kepatuhan regulasi nasional terkini dibanding seluruh dokumen rujukan.</w:t>
      </w:r>
    </w:p>
    <w:p>
      <w:pPr>
        <w:pStyle w:val="ListNumber"/>
        <w:spacing w:after="120"/>
      </w:pPr>
      <w:r>
        <w:rPr/>
        <w:t>Program Studi Teknik Informatika wajib memiliki pedoman penerimaan mahasiswa melalui jalur Recognition of Prior Learning (RPL) sesuai ketentuan yang berlaku.</w:t>
      </w:r>
    </w:p>
    <w:p>
      <w:pPr>
        <w:pStyle w:val="ListNumber"/>
        <w:spacing w:after="120"/>
      </w:pPr>
      <w:r>
        <w:rPr/>
        <w:t>Program Studi Teknik Informatika wajib melaksanakan pelaporan Pangkalan Data Pendidikan Tinggi (PD DIKTI) secara lengkap, benar, dan tepat waktu setiap semester.</w:t>
      </w:r>
    </w:p>
    <w:p>
      <w:pPr>
        <w:pStyle w:val="ListNumber"/>
        <w:spacing w:after="120"/>
      </w:pPr>
      <w:r>
        <w:rPr/>
        <w:t>Program Studi Teknik Informatika wajib melaksanakan monitoring dan evaluasi pembelajaran paling sedikit 2 (dua) kali setiap semester, dilakukan secara periodik, konsisten, ditindaklanjuti, dan didukung sistem monev daring.</w:t>
      </w:r>
    </w:p>
    <w:p>
      <w:pPr>
        <w:pStyle w:val="ListNumber"/>
        <w:spacing w:after="120"/>
      </w:pPr>
      <w:r>
        <w:rPr/>
        <w:t>Program Studi Teknik Informatika wajib mengintegrasikan mata kuliah kewirausahaan sebagai mata kuliah ciri khas UNISBANK dalam kurikulum, serta meningkatkan persentase program studi yang mengintegrasikan kegiatan kewirausahaan berskala nasional menjadi 100% dan berskala global/regional secara bertahap menuju paling sedikit 42%.</w:t>
      </w:r>
    </w:p>
    <w:p>
      <w:pPr>
        <w:pStyle w:val="ListNumber"/>
        <w:spacing w:after="120"/>
      </w:pPr>
      <w:r>
        <w:rPr/>
        <w:t>Program Studi Teknik Informatika wajib melakukan pengendalian dan peningkatan mutu proses pendidikan secara berkelanjutan berdasarkan hasil Monev, Audit Mutu Internal (AMI), survei kepuasan, capaian IKU/IKT, dan hasil tindak lanjut perbaikan dalam siklus Penetapan, Pelaksanaan, Evaluasi, Pengendalian, dan Peningkatan (PPEPP).</w:t>
      </w:r>
    </w:p>
    <w:p>
      <w:pPr>
        <w:spacing w:before="200" w:after="80"/>
      </w:pPr>
      <w:r>
        <w:rPr>
          <w:b/>
          <w:sz w:val="25"/>
        </w:rPr>
        <w:t>4. Strategi Pencapaian Standar</w:t>
      </w:r>
    </w:p>
    <w:p>
      <w:pPr>
        <w:pStyle w:val="ListNumber"/>
        <w:spacing w:after="120"/>
      </w:pPr>
      <w:r>
        <w:rPr/>
        <w:t>Rektor menetapkan kebijakan, standar, pedoman, dan peraturan Standar Pengelolaan Pembelajaran sebagai bagian dari SPMI Universitas, dengan ambang indikator disetarakan pada skor tertinggi instrumen LAM Teknik/Panduan SPMI Program Sarjana (R1) dan kriteria Unggul LAM INFOKOM.</w:t>
      </w:r>
    </w:p>
    <w:p>
      <w:pPr>
        <w:pStyle w:val="ListNumber"/>
        <w:spacing w:after="120"/>
      </w:pPr>
      <w:r>
        <w:rPr/>
        <w:t>DJM menyusun pedoman peningkatan suasana akademik yang menetapkan frekuensi kegiatan ilmiah terjadwal paling sedikit setiap 2 bulan pada tahap awal, meningkat menjadi setiap bulan; FTII dan program studi melaksanakan kegiatan tersebut secara konsisten.</w:t>
      </w:r>
    </w:p>
    <w:p>
      <w:pPr>
        <w:pStyle w:val="ListNumber"/>
        <w:spacing w:after="120"/>
      </w:pPr>
      <w:r>
        <w:rPr/>
        <w:t>FTII dan program studi melaksanakan survei kepuasan mahasiswa terhadap suasana akademik dan proses pendidikan paling sedikit 2 kali setiap semester, menganalisis hasilnya, dan menindaklanjuti untuk mencapai ambang kepuasan 75% menuju 85%.</w:t>
      </w:r>
    </w:p>
    <w:p>
      <w:pPr>
        <w:pStyle w:val="ListNumber"/>
        <w:spacing w:after="120"/>
      </w:pPr>
      <w:r>
        <w:rPr/>
        <w:t>Rektor menetapkan dan mengoperasionalkan Satgas Pencegahan dan Penanganan Kekerasan Seksual (PPKS) sesuai Permendikbudristek Nomor 55 Tahun 2024 sebagai bagian permanen tata kelola suasana akademik.</w:t>
      </w:r>
    </w:p>
    <w:p>
      <w:pPr>
        <w:pStyle w:val="ListNumber"/>
        <w:spacing w:after="120"/>
      </w:pPr>
      <w:r>
        <w:rPr/>
        <w:t>DAA bersama program studi melaksanakan pelaporan PD DIKTI secara lengkap, benar, dan tepat waktu setiap semester sebagai bentuk akuntabilitas pengelolaan proses pendidikan.</w:t>
      </w:r>
    </w:p>
    <w:p>
      <w:pPr>
        <w:pStyle w:val="ListNumber"/>
        <w:spacing w:after="120"/>
      </w:pPr>
      <w:r>
        <w:rPr/>
        <w:t>DJM dan UJM melaksanakan monitoring dan evaluasi pembelajaran paling sedikit 2 kali setiap semester secara periodik, konsisten, dan ditindaklanjuti melalui sistem monev daring.</w:t>
      </w:r>
    </w:p>
    <w:p>
      <w:pPr>
        <w:pStyle w:val="ListNumber"/>
        <w:spacing w:after="120"/>
      </w:pPr>
      <w:r>
        <w:rPr/>
        <w:t>DPKPD bersama Direktorat Kemahasiswaan dan Pengembangan Bakat Kewirausahaan mengintegrasikan mata kuliah kewirausahaan ciri khas UNISBANK serta memperluas cakupan kegiatan kewirausahaan berskala nasional dan global/regional.</w:t>
      </w:r>
    </w:p>
    <w:p>
      <w:pPr>
        <w:pStyle w:val="ListNumber"/>
        <w:spacing w:after="120"/>
      </w:pPr>
      <w:r>
        <w:rPr/>
        <w:t>DJM, UJM, dan GKM melaksanakan Audit Mutu Internal (AMI) secara berkala serta menyusun Rencana Tindak Lanjut (RTL) atas seluruh indikator Standar Proses Pendidikan sebagai bagian dari siklus PPEPP.</w:t>
      </w:r>
    </w:p>
    <w:p>
      <w:pPr>
        <w:spacing w:before="200" w:after="80"/>
      </w:pPr>
      <w:r>
        <w:rPr>
          <w:b/>
          <w:sz w:val="25"/>
        </w:rPr>
        <w:t>5. Indikator Capaian Standar</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r>
            <w:r>
              <w:rPr>
                <w:b/>
              </w:rPr>
              <w:t>No</w:t>
            </w:r>
          </w:p>
        </w:tc>
        <w:tc>
          <w:tcPr>
            <w:tcW w:type="dxa" w:w="1234"/>
          </w:tcPr>
          <w:p>
            <w:pPr/>
            <w:r/>
            <w:r>
              <w:rPr/>
            </w:r>
            <w:r>
              <w:rPr>
                <w:b/>
              </w:rPr>
              <w:t>Indikator (IKU/IKT)</w:t>
            </w:r>
          </w:p>
        </w:tc>
        <w:tc>
          <w:tcPr>
            <w:tcW w:type="dxa" w:w="1234"/>
          </w:tcPr>
          <w:p>
            <w:pPr/>
            <w:r/>
            <w:r>
              <w:rPr/>
            </w:r>
            <w:r>
              <w:rPr>
                <w:b/>
              </w:rPr>
              <w:t>Satuan</w:t>
            </w:r>
          </w:p>
        </w:tc>
        <w:tc>
          <w:tcPr>
            <w:tcW w:type="dxa" w:w="1234"/>
          </w:tcPr>
          <w:p>
            <w:pPr/>
            <w:r/>
            <w:r>
              <w:rPr/>
            </w:r>
            <w:r>
              <w:rPr>
                <w:b/>
              </w:rPr>
              <w:t>Ambang Rujukan (skor 4)</w:t>
            </w:r>
          </w:p>
        </w:tc>
        <w:tc>
          <w:tcPr>
            <w:tcW w:type="dxa" w:w="1234"/>
          </w:tcPr>
          <w:p>
            <w:pPr/>
            <w:r/>
            <w:r>
              <w:rPr/>
            </w:r>
            <w:r>
              <w:rPr>
                <w:b/>
              </w:rPr>
              <w:t>Target 2024/2025</w:t>
            </w:r>
          </w:p>
        </w:tc>
        <w:tc>
          <w:tcPr>
            <w:tcW w:type="dxa" w:w="1234"/>
          </w:tcPr>
          <w:p>
            <w:pPr/>
            <w:r/>
            <w:r>
              <w:rPr/>
            </w:r>
            <w:r>
              <w:rPr>
                <w:b/>
              </w:rPr>
              <w:t>Target 2025/2026</w:t>
            </w:r>
          </w:p>
        </w:tc>
        <w:tc>
          <w:tcPr>
            <w:tcW w:type="dxa" w:w="1234"/>
          </w:tcPr>
          <w:p>
            <w:pPr/>
            <w:r/>
            <w:r>
              <w:rPr/>
            </w:r>
            <w:r>
              <w:rPr>
                <w:b/>
              </w:rPr>
              <w:t>Target 2026/2027</w:t>
            </w:r>
          </w:p>
        </w:tc>
      </w:tr>
      <w:tr>
        <w:tc>
          <w:tcPr>
            <w:tcW w:type="dxa" w:w="1234"/>
          </w:tcPr>
          <w:p>
            <w:pPr/>
            <w:r/>
            <w:r>
              <w:rPr/>
            </w:r>
            <w:r>
              <w:rPr>
                <w:b w:val="0"/>
              </w:rPr>
              <w:t>22</w:t>
            </w:r>
          </w:p>
        </w:tc>
        <w:tc>
          <w:tcPr>
            <w:tcW w:type="dxa" w:w="1234"/>
          </w:tcPr>
          <w:p>
            <w:pPr/>
            <w:r/>
            <w:r>
              <w:rPr/>
            </w:r>
            <w:r>
              <w:rPr>
                <w:b w:val="0"/>
              </w:rPr>
              <w:t>Frekuensi kegiatan peningkatan suasana akademik [IKU - baru]</w:t>
            </w:r>
          </w:p>
        </w:tc>
        <w:tc>
          <w:tcPr>
            <w:tcW w:type="dxa" w:w="1234"/>
          </w:tcPr>
          <w:p>
            <w:pPr/>
            <w:r/>
            <w:r>
              <w:rPr/>
            </w:r>
            <w:r>
              <w:rPr>
                <w:b w:val="0"/>
              </w:rPr>
              <w:t>Kali/tahun (min)</w:t>
            </w:r>
          </w:p>
        </w:tc>
        <w:tc>
          <w:tcPr>
            <w:tcW w:type="dxa" w:w="1234"/>
          </w:tcPr>
          <w:p>
            <w:pPr/>
            <w:r/>
            <w:r>
              <w:rPr/>
            </w:r>
            <w:r>
              <w:rPr>
                <w:b w:val="0"/>
              </w:rPr>
              <w:t>bulanan (R1); 1-2 bulan (R2)</w:t>
            </w:r>
          </w:p>
        </w:tc>
        <w:tc>
          <w:tcPr>
            <w:tcW w:type="dxa" w:w="1234"/>
          </w:tcPr>
          <w:p>
            <w:pPr/>
            <w:r/>
            <w:r>
              <w:rPr/>
            </w:r>
            <w:r>
              <w:rPr>
                <w:b w:val="0"/>
              </w:rPr>
              <w:t>6</w:t>
            </w:r>
          </w:p>
        </w:tc>
        <w:tc>
          <w:tcPr>
            <w:tcW w:type="dxa" w:w="1234"/>
          </w:tcPr>
          <w:p>
            <w:pPr/>
            <w:r/>
            <w:r>
              <w:rPr/>
            </w:r>
            <w:r>
              <w:rPr>
                <w:b w:val="0"/>
              </w:rPr>
              <w:t>6</w:t>
            </w:r>
          </w:p>
        </w:tc>
        <w:tc>
          <w:tcPr>
            <w:tcW w:type="dxa" w:w="1234"/>
          </w:tcPr>
          <w:p>
            <w:pPr/>
            <w:r/>
            <w:r>
              <w:rPr/>
            </w:r>
            <w:r>
              <w:rPr>
                <w:b w:val="0"/>
              </w:rPr>
              <w:t>12</w:t>
            </w:r>
          </w:p>
        </w:tc>
      </w:tr>
      <w:tr>
        <w:tc>
          <w:tcPr>
            <w:tcW w:type="dxa" w:w="1234"/>
          </w:tcPr>
          <w:p>
            <w:pPr/>
            <w:r/>
            <w:r>
              <w:rPr/>
            </w:r>
            <w:r>
              <w:rPr>
                <w:b w:val="0"/>
              </w:rPr>
              <w:t>23</w:t>
            </w:r>
          </w:p>
        </w:tc>
        <w:tc>
          <w:tcPr>
            <w:tcW w:type="dxa" w:w="1234"/>
          </w:tcPr>
          <w:p>
            <w:pPr/>
            <w:r/>
            <w:r>
              <w:rPr/>
            </w:r>
            <w:r>
              <w:rPr>
                <w:b w:val="0"/>
              </w:rPr>
              <w:t>Kepuasan mahasiswa terhadap suasana akademik/proses pendidikan [IKU - baru]</w:t>
            </w:r>
          </w:p>
        </w:tc>
        <w:tc>
          <w:tcPr>
            <w:tcW w:type="dxa" w:w="1234"/>
          </w:tcPr>
          <w:p>
            <w:pPr/>
            <w:r/>
            <w:r>
              <w:rPr/>
            </w:r>
            <w:r>
              <w:rPr>
                <w:b w:val="0"/>
              </w:rPr>
              <w:t>%</w:t>
            </w:r>
          </w:p>
        </w:tc>
        <w:tc>
          <w:tcPr>
            <w:tcW w:type="dxa" w:w="1234"/>
          </w:tcPr>
          <w:p>
            <w:pPr/>
            <w:r/>
            <w:r>
              <w:rPr/>
            </w:r>
            <w:r>
              <w:rPr>
                <w:b w:val="0"/>
              </w:rPr>
              <w:t>&gt;75 (R1)</w:t>
            </w:r>
          </w:p>
        </w:tc>
        <w:tc>
          <w:tcPr>
            <w:tcW w:type="dxa" w:w="1234"/>
          </w:tcPr>
          <w:p>
            <w:pPr/>
            <w:r/>
            <w:r>
              <w:rPr/>
            </w:r>
            <w:r>
              <w:rPr>
                <w:b w:val="0"/>
              </w:rPr>
              <w:t>75</w:t>
            </w:r>
          </w:p>
        </w:tc>
        <w:tc>
          <w:tcPr>
            <w:tcW w:type="dxa" w:w="1234"/>
          </w:tcPr>
          <w:p>
            <w:pPr/>
            <w:r/>
            <w:r>
              <w:rPr/>
            </w:r>
            <w:r>
              <w:rPr>
                <w:b w:val="0"/>
              </w:rPr>
              <w:t>80</w:t>
            </w:r>
          </w:p>
        </w:tc>
        <w:tc>
          <w:tcPr>
            <w:tcW w:type="dxa" w:w="1234"/>
          </w:tcPr>
          <w:p>
            <w:pPr/>
            <w:r/>
            <w:r>
              <w:rPr/>
            </w:r>
            <w:r>
              <w:rPr>
                <w:b w:val="0"/>
              </w:rPr>
              <w:t>85</w:t>
            </w:r>
          </w:p>
        </w:tc>
      </w:tr>
      <w:tr>
        <w:tc>
          <w:tcPr>
            <w:tcW w:type="dxa" w:w="1234"/>
          </w:tcPr>
          <w:p>
            <w:pPr/>
            <w:r/>
            <w:r>
              <w:rPr/>
            </w:r>
            <w:r>
              <w:rPr>
                <w:b w:val="0"/>
              </w:rPr>
              <w:t>24</w:t>
            </w:r>
          </w:p>
        </w:tc>
        <w:tc>
          <w:tcPr>
            <w:tcW w:type="dxa" w:w="1234"/>
          </w:tcPr>
          <w:p>
            <w:pPr/>
            <w:r/>
            <w:r>
              <w:rPr/>
            </w:r>
            <w:r>
              <w:rPr>
                <w:b w:val="0"/>
              </w:rPr>
              <w:t>Ketersediaan Satgas PPKS [IKU]</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25</w:t>
            </w:r>
          </w:p>
        </w:tc>
        <w:tc>
          <w:tcPr>
            <w:tcW w:type="dxa" w:w="1234"/>
          </w:tcPr>
          <w:p>
            <w:pPr/>
            <w:r/>
            <w:r>
              <w:rPr/>
            </w:r>
            <w:r>
              <w:rPr>
                <w:b w:val="0"/>
              </w:rPr>
              <w:t>Ketersediaan pedoman penerimaan mahasiswa jalur RPL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26</w:t>
            </w:r>
          </w:p>
        </w:tc>
        <w:tc>
          <w:tcPr>
            <w:tcW w:type="dxa" w:w="1234"/>
          </w:tcPr>
          <w:p>
            <w:pPr/>
            <w:r/>
            <w:r>
              <w:rPr/>
            </w:r>
            <w:r>
              <w:rPr>
                <w:b w:val="0"/>
              </w:rPr>
              <w:t>Pelaporan PD DIKTI lengkap dan tepat waktu setiap semester [IKU]</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27</w:t>
            </w:r>
          </w:p>
        </w:tc>
        <w:tc>
          <w:tcPr>
            <w:tcW w:type="dxa" w:w="1234"/>
          </w:tcPr>
          <w:p>
            <w:pPr/>
            <w:r/>
            <w:r>
              <w:rPr/>
            </w:r>
            <w:r>
              <w:rPr>
                <w:b w:val="0"/>
              </w:rPr>
              <w:t>Frekuensi monitoring dan evaluasi pembelajaran [IKU]</w:t>
            </w:r>
          </w:p>
        </w:tc>
        <w:tc>
          <w:tcPr>
            <w:tcW w:type="dxa" w:w="1234"/>
          </w:tcPr>
          <w:p>
            <w:pPr/>
            <w:r/>
            <w:r>
              <w:rPr/>
            </w:r>
            <w:r>
              <w:rPr>
                <w:b w:val="0"/>
              </w:rPr>
              <w:t>Kali/semester (min)</w:t>
            </w:r>
          </w:p>
        </w:tc>
        <w:tc>
          <w:tcPr>
            <w:tcW w:type="dxa" w:w="1234"/>
          </w:tcPr>
          <w:p>
            <w:pPr/>
            <w:r/>
            <w:r>
              <w:rPr/>
            </w:r>
            <w:r>
              <w:rPr>
                <w:b w:val="0"/>
              </w:rPr>
              <w:t>periodik &amp; daring (R1)</w:t>
            </w:r>
          </w:p>
        </w:tc>
        <w:tc>
          <w:tcPr>
            <w:tcW w:type="dxa" w:w="1234"/>
          </w:tcPr>
          <w:p>
            <w:pPr/>
            <w:r/>
            <w:r>
              <w:rPr/>
            </w:r>
            <w:r>
              <w:rPr>
                <w:b w:val="0"/>
              </w:rPr>
              <w:t>2</w:t>
            </w:r>
          </w:p>
        </w:tc>
        <w:tc>
          <w:tcPr>
            <w:tcW w:type="dxa" w:w="1234"/>
          </w:tcPr>
          <w:p>
            <w:pPr/>
            <w:r/>
            <w:r>
              <w:rPr/>
            </w:r>
            <w:r>
              <w:rPr>
                <w:b w:val="0"/>
              </w:rPr>
              <w:t>2</w:t>
            </w:r>
          </w:p>
        </w:tc>
        <w:tc>
          <w:tcPr>
            <w:tcW w:type="dxa" w:w="1234"/>
          </w:tcPr>
          <w:p>
            <w:pPr/>
            <w:r/>
            <w:r>
              <w:rPr/>
            </w:r>
            <w:r>
              <w:rPr>
                <w:b w:val="0"/>
              </w:rPr>
              <w:t>2</w:t>
            </w:r>
          </w:p>
        </w:tc>
      </w:tr>
      <w:tr>
        <w:tc>
          <w:tcPr>
            <w:tcW w:type="dxa" w:w="1234"/>
          </w:tcPr>
          <w:p>
            <w:pPr/>
            <w:r/>
            <w:r>
              <w:rPr/>
            </w:r>
            <w:r>
              <w:rPr>
                <w:b w:val="0"/>
              </w:rPr>
              <w:t>28</w:t>
            </w:r>
          </w:p>
        </w:tc>
        <w:tc>
          <w:tcPr>
            <w:tcW w:type="dxa" w:w="1234"/>
          </w:tcPr>
          <w:p>
            <w:pPr/>
            <w:r/>
            <w:r>
              <w:rPr/>
            </w:r>
            <w:r>
              <w:rPr>
                <w:b w:val="0"/>
              </w:rPr>
              <w:t>Ketersediaan mata kuliah kewirausahaan ciri khas UNISBANK [IKT]</w:t>
            </w:r>
          </w:p>
        </w:tc>
        <w:tc>
          <w:tcPr>
            <w:tcW w:type="dxa" w:w="1234"/>
          </w:tcPr>
          <w:p>
            <w:pPr/>
            <w:r/>
            <w:r>
              <w:rPr/>
            </w:r>
            <w:r>
              <w:rPr>
                <w:b w:val="0"/>
              </w:rPr>
              <w:t>Status</w:t>
            </w:r>
          </w:p>
        </w:tc>
        <w:tc>
          <w:tcPr>
            <w:tcW w:type="dxa" w:w="1234"/>
          </w:tcPr>
          <w:p>
            <w:pPr/>
            <w:r/>
            <w:r>
              <w:rPr/>
            </w:r>
            <w:r>
              <w:rPr>
                <w:b w:val="0"/>
              </w:rPr>
              <w:t>-</w:t>
            </w:r>
          </w:p>
        </w:tc>
        <w:tc>
          <w:tcPr>
            <w:tcW w:type="dxa" w:w="1234"/>
          </w:tcPr>
          <w:p>
            <w:pPr/>
            <w:r/>
            <w:r>
              <w:rPr/>
            </w:r>
            <w:r>
              <w:rPr>
                <w:b w:val="0"/>
              </w:rPr>
              <w:t>Tersedia</w:t>
            </w:r>
          </w:p>
        </w:tc>
        <w:tc>
          <w:tcPr>
            <w:tcW w:type="dxa" w:w="1234"/>
          </w:tcPr>
          <w:p>
            <w:pPr/>
            <w:r/>
            <w:r>
              <w:rPr/>
            </w:r>
            <w:r>
              <w:rPr>
                <w:b w:val="0"/>
              </w:rPr>
              <w:t>Tersedia</w:t>
            </w:r>
          </w:p>
        </w:tc>
        <w:tc>
          <w:tcPr>
            <w:tcW w:type="dxa" w:w="1234"/>
          </w:tcPr>
          <w:p>
            <w:pPr/>
            <w:r/>
            <w:r>
              <w:rPr/>
            </w:r>
            <w:r>
              <w:rPr>
                <w:b w:val="0"/>
              </w:rPr>
              <w:t>Tersedia</w:t>
            </w:r>
          </w:p>
        </w:tc>
      </w:tr>
      <w:tr>
        <w:tc>
          <w:tcPr>
            <w:tcW w:type="dxa" w:w="1234"/>
          </w:tcPr>
          <w:p>
            <w:pPr/>
            <w:r/>
            <w:r>
              <w:rPr/>
            </w:r>
            <w:r>
              <w:rPr>
                <w:b w:val="0"/>
              </w:rPr>
              <w:t>29</w:t>
            </w:r>
          </w:p>
        </w:tc>
        <w:tc>
          <w:tcPr>
            <w:tcW w:type="dxa" w:w="1234"/>
          </w:tcPr>
          <w:p>
            <w:pPr/>
            <w:r/>
            <w:r>
              <w:rPr/>
            </w:r>
            <w:r>
              <w:rPr>
                <w:b w:val="0"/>
              </w:rPr>
              <w:t>Prodi mengintegrasikan kegiatan kewirausahaan skala nasional [IKT]</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100</w:t>
            </w:r>
          </w:p>
        </w:tc>
        <w:tc>
          <w:tcPr>
            <w:tcW w:type="dxa" w:w="1234"/>
          </w:tcPr>
          <w:p>
            <w:pPr/>
            <w:r/>
            <w:r>
              <w:rPr/>
            </w:r>
            <w:r>
              <w:rPr>
                <w:b w:val="0"/>
              </w:rPr>
              <w:t>100</w:t>
            </w:r>
          </w:p>
        </w:tc>
        <w:tc>
          <w:tcPr>
            <w:tcW w:type="dxa" w:w="1234"/>
          </w:tcPr>
          <w:p>
            <w:pPr/>
            <w:r/>
            <w:r>
              <w:rPr/>
            </w:r>
            <w:r>
              <w:rPr>
                <w:b w:val="0"/>
              </w:rPr>
              <w:t>100</w:t>
            </w:r>
          </w:p>
        </w:tc>
      </w:tr>
      <w:tr>
        <w:tc>
          <w:tcPr>
            <w:tcW w:type="dxa" w:w="1234"/>
          </w:tcPr>
          <w:p>
            <w:pPr/>
            <w:r/>
            <w:r>
              <w:rPr/>
            </w:r>
            <w:r>
              <w:rPr>
                <w:b w:val="0"/>
              </w:rPr>
              <w:t>30</w:t>
            </w:r>
          </w:p>
        </w:tc>
        <w:tc>
          <w:tcPr>
            <w:tcW w:type="dxa" w:w="1234"/>
          </w:tcPr>
          <w:p>
            <w:pPr/>
            <w:r/>
            <w:r>
              <w:rPr/>
            </w:r>
            <w:r>
              <w:rPr>
                <w:b w:val="0"/>
              </w:rPr>
              <w:t>Prodi mengintegrasikan kegiatan kewirausahaan skala global/regional [IKT]</w:t>
            </w:r>
          </w:p>
        </w:tc>
        <w:tc>
          <w:tcPr>
            <w:tcW w:type="dxa" w:w="1234"/>
          </w:tcPr>
          <w:p>
            <w:pPr/>
            <w:r/>
            <w:r>
              <w:rPr/>
            </w:r>
            <w:r>
              <w:rPr>
                <w:b w:val="0"/>
              </w:rPr>
              <w:t>%</w:t>
            </w:r>
          </w:p>
        </w:tc>
        <w:tc>
          <w:tcPr>
            <w:tcW w:type="dxa" w:w="1234"/>
          </w:tcPr>
          <w:p>
            <w:pPr/>
            <w:r/>
            <w:r>
              <w:rPr/>
            </w:r>
            <w:r>
              <w:rPr>
                <w:b w:val="0"/>
              </w:rPr>
              <w:t>-</w:t>
            </w:r>
          </w:p>
        </w:tc>
        <w:tc>
          <w:tcPr>
            <w:tcW w:type="dxa" w:w="1234"/>
          </w:tcPr>
          <w:p>
            <w:pPr/>
            <w:r/>
            <w:r>
              <w:rPr/>
            </w:r>
            <w:r>
              <w:rPr>
                <w:b w:val="0"/>
              </w:rPr>
              <w:t>30</w:t>
            </w:r>
          </w:p>
        </w:tc>
        <w:tc>
          <w:tcPr>
            <w:tcW w:type="dxa" w:w="1234"/>
          </w:tcPr>
          <w:p>
            <w:pPr/>
            <w:r/>
            <w:r>
              <w:rPr/>
            </w:r>
            <w:r>
              <w:rPr>
                <w:b w:val="0"/>
              </w:rPr>
              <w:t>36</w:t>
            </w:r>
          </w:p>
        </w:tc>
        <w:tc>
          <w:tcPr>
            <w:tcW w:type="dxa" w:w="1234"/>
          </w:tcPr>
          <w:p>
            <w:pPr/>
            <w:r/>
            <w:r>
              <w:rPr/>
            </w:r>
            <w:r>
              <w:rPr>
                <w:b w:val="0"/>
              </w:rPr>
              <w:t>42</w:t>
            </w:r>
          </w:p>
        </w:tc>
      </w:tr>
    </w:tbl>
    <w:p>
      <w:pPr/>
    </w:p>
    <w:p>
      <w:pPr>
        <w:spacing w:before="320" w:after="120"/>
      </w:pPr>
      <w:r>
        <w:rPr>
          <w:b/>
          <w:sz w:val="28"/>
        </w:rPr>
        <w:t>DOKUMEN TERKAIT PELAKSANAAN STANDAR</w:t>
      </w:r>
    </w:p>
    <w:p>
      <w:pPr>
        <w:pStyle w:val="ListNumber"/>
        <w:spacing w:after="120"/>
      </w:pPr>
      <w:r>
        <w:rPr/>
        <w:t>Dokumen kebijakan dan penetapan Standar Proses Pendidikan Program Studi Teknik Informatika (Surat Keputusan Rektor).</w:t>
      </w:r>
    </w:p>
    <w:p>
      <w:pPr>
        <w:pStyle w:val="ListNumber"/>
        <w:spacing w:after="120"/>
      </w:pPr>
      <w:r>
        <w:rPr/>
        <w:t>Dokumen kurikulum berbasis OBE tiap program studi yang memuat implementasi PBL, CBL, micro-credential, dan RPL.</w:t>
      </w:r>
    </w:p>
    <w:p>
      <w:pPr>
        <w:pStyle w:val="ListNumber"/>
        <w:spacing w:after="120"/>
      </w:pPr>
      <w:r>
        <w:rPr/>
        <w:t>Rencana Pembelajaran Semester (RPS) terdigitalisasi untuk setiap mata kuliah beserta dokumen pemetaan CPL-CPMK-RPS dan bukti peninjauan berkala.</w:t>
      </w:r>
    </w:p>
    <w:p>
      <w:pPr>
        <w:pStyle w:val="ListNumber"/>
        <w:spacing w:after="120"/>
      </w:pPr>
      <w:r>
        <w:rPr/>
        <w:t>Rekap perhitungan dan pemantauan Persentase Jam Pembelajaran Praktik (PJP) per program studi.</w:t>
      </w:r>
    </w:p>
    <w:p>
      <w:pPr>
        <w:pStyle w:val="ListNumber"/>
        <w:spacing w:after="120"/>
      </w:pPr>
      <w:r>
        <w:rPr/>
        <w:t>Daftar dan bukti mata kuliah terintegrasi hasil penelitian dan PkM (terpisah per kategori).</w:t>
      </w:r>
    </w:p>
    <w:p>
      <w:pPr>
        <w:pStyle w:val="ListNumber"/>
        <w:spacing w:after="120"/>
      </w:pPr>
      <w:r>
        <w:rPr/>
        <w:t>Presensi perkuliahan, Berita Acara Perkuliahan (BAP), dan rekap keterlaksanaan pembelajaran 16 kali pertemuan.</w:t>
      </w:r>
    </w:p>
    <w:p>
      <w:pPr>
        <w:pStyle w:val="ListNumber"/>
        <w:spacing w:after="120"/>
      </w:pPr>
      <w:r>
        <w:rPr/>
        <w:t>Dokumen kebijakan MBKM beserta 6 dokumen perencanaan (kebijakan, kurikulum MBKM, MoU mitra, panduan dosen, panduan mahasiswa, panduan admin/monev) dan bukti pemenuhan 4 aspek monev pelaksanaan.</w:t>
      </w:r>
    </w:p>
    <w:p>
      <w:pPr>
        <w:pStyle w:val="ListNumber"/>
        <w:spacing w:after="120"/>
      </w:pPr>
      <w:r>
        <w:rPr/>
        <w:t>Dokumen rekognisi MBKM, laporan program magang mahasiswa di DUDIKA, dan laporan tugas akhir mahasiswa program sarjana.</w:t>
      </w:r>
    </w:p>
    <w:p>
      <w:pPr>
        <w:pStyle w:val="ListNumber"/>
        <w:spacing w:after="120"/>
      </w:pPr>
      <w:r>
        <w:rPr/>
        <w:t>Pedoman dan data pemanfaatan Recognition of Prior Learning (RPL): persentase SKS diakui dan jumlah mahasiswa pemanfaat per tahun.</w:t>
      </w:r>
    </w:p>
    <w:p>
      <w:pPr>
        <w:pStyle w:val="ListNumber"/>
        <w:spacing w:after="120"/>
      </w:pPr>
      <w:r>
        <w:rPr/>
        <w:t>Instrumen dan bukti penilaian pembelajaran (rubrik, portofolio) serta rekap ketepatan tenggat pengumuman nilai.</w:t>
      </w:r>
    </w:p>
    <w:p>
      <w:pPr>
        <w:pStyle w:val="ListNumber"/>
        <w:spacing w:after="120"/>
      </w:pPr>
      <w:r>
        <w:rPr/>
        <w:t>Laporan hasil penilaian seluruh lulusan, SK Kelulusan, ijazah, transkrip akademik, dan Surat Keterangan Pendamping Ijazah (SKPI).</w:t>
      </w:r>
    </w:p>
    <w:p>
      <w:pPr>
        <w:pStyle w:val="ListNumber"/>
        <w:spacing w:after="120"/>
      </w:pPr>
      <w:r>
        <w:rPr/>
        <w:t>Rekap kelulusan tepat waktu dan lama studi per angkatan.</w:t>
      </w:r>
    </w:p>
    <w:p>
      <w:pPr>
        <w:pStyle w:val="ListNumber"/>
        <w:spacing w:after="120"/>
      </w:pPr>
      <w:r>
        <w:rPr/>
        <w:t>Dokumen kebijakan dan pedoman suasana akademik, jadwal dan dokumentasi kegiatan ilmiah terjadwal, serta laporan survei kepuasan mahasiswa.</w:t>
      </w:r>
    </w:p>
    <w:p>
      <w:pPr>
        <w:pStyle w:val="ListNumber"/>
        <w:spacing w:after="120"/>
      </w:pPr>
      <w:r>
        <w:rPr/>
        <w:t>SK Rektor tentang Satgas Pencegahan dan Penanganan Kekerasan Seksual (PPKS).</w:t>
      </w:r>
    </w:p>
    <w:p>
      <w:pPr>
        <w:pStyle w:val="ListNumber"/>
        <w:spacing w:after="120"/>
      </w:pPr>
      <w:r>
        <w:rPr/>
        <w:t>Bukti pelaporan Pangkalan Data Pendidikan Tinggi (PD DIKTI) setiap semester.</w:t>
      </w:r>
    </w:p>
    <w:p>
      <w:pPr>
        <w:pStyle w:val="ListNumber"/>
        <w:spacing w:after="120"/>
      </w:pPr>
      <w:r>
        <w:rPr/>
        <w:t>Laporan Monitoring dan Evaluasi (Monev) Pembelajaran, Laporan Audit Mutu Internal (AMI), dan Rencana Tindak Lanjut (RTL).</w:t>
      </w:r>
    </w:p>
    <w:p>
      <w:pPr>
        <w:pStyle w:val="ListNumber"/>
        <w:spacing w:after="120"/>
      </w:pPr>
      <w:r>
        <w:rPr/>
        <w:t>Dokumen kurikulum yang memuat mata kuliah kewirausahaan ciri khas UNISBANK serta dokumen kegiatan kewirausahaan berskala nasional dan global/regional.</w:t>
      </w:r>
    </w:p>
    <w:p>
      <w:pPr>
        <w:pStyle w:val="ListNumber"/>
        <w:spacing w:after="120"/>
      </w:pPr>
      <w:r>
        <w:rPr/>
        <w:t>Dokumen root-cause analysis dan SWOT tahunan atas ketiga sub-standar Proses Pendidikan, sesuai template Standar Penjaminan Mutu Internal FTII, beserta berita acara pembahasannya dalam RTM.</w:t>
      </w:r>
    </w:p>
    <w:p>
      <w:pPr>
        <w:spacing w:before="320" w:after="120"/>
      </w:pPr>
      <w:r>
        <w:rPr>
          <w:b/>
          <w:sz w:val="28"/>
        </w:rPr>
        <w:t>REFERENSI</w:t>
      </w:r>
    </w:p>
    <w:p>
      <w:pPr>
        <w:pStyle w:val="ListNumber"/>
        <w:spacing w:after="120"/>
      </w:pPr>
      <w:r>
        <w:rPr/>
        <w:t>Peraturan Menteri Pendidikan, Kebudayaan, Riset, dan Teknologi Republik Indonesia Nomor 53 Tahun 2023 tentang Standar Nasional Pendidikan Tinggi, pasal 40-45 (Standar Proses Pendidikan).</w:t>
      </w:r>
    </w:p>
    <w:p>
      <w:pPr>
        <w:pStyle w:val="ListNumber"/>
        <w:spacing w:after="120"/>
      </w:pPr>
      <w:r>
        <w:rPr/>
        <w:t>Peraturan Menteri Pendidikan, Kebudayaan, Riset, dan Teknologi Republik Indonesia Nomor 55 Tahun 2024 tentang Pencegahan dan Penanganan Kekerasan Seksual di Lingkungan Perguruan Tinggi.</w:t>
      </w:r>
    </w:p>
    <w:p>
      <w:pPr>
        <w:pStyle w:val="ListNumber"/>
        <w:spacing w:after="120"/>
      </w:pPr>
      <w:r>
        <w:rPr/>
        <w:t>Matriks Penilaian Laporan Evaluasi Diri dan Laporan Kinerja Program Studi LAM Teknik (APS-AV 2025 1.0).</w:t>
      </w:r>
    </w:p>
    <w:p>
      <w:pPr>
        <w:pStyle w:val="ListNumber"/>
        <w:spacing w:after="120"/>
      </w:pPr>
      <w:r>
        <w:rPr/>
        <w:t>Panduan Sistem Penjaminan Mutu Internal Program Sarjana (R1).</w:t>
      </w:r>
    </w:p>
    <w:p>
      <w:pPr>
        <w:pStyle w:val="ListNumber"/>
        <w:spacing w:after="120"/>
      </w:pPr>
      <w:r>
        <w:rPr/>
        <w:t>Kriteria Terakreditasi Unggul 2.1 LAM INFOKOM.</w:t>
      </w:r>
    </w:p>
    <w:p>
      <w:pPr>
        <w:pStyle w:val="ListNumber"/>
        <w:spacing w:after="120"/>
      </w:pPr>
      <w:r>
        <w:rPr/>
        <w:t>Instrumen Akreditasi Program Studi 2.1 LAM INFOKOM (Peraturan LAM-INFOKOM Nomor 11/PERLAM/MA/LAM-INFOKOM/X/2025, November 2025).</w:t>
      </w:r>
    </w:p>
    <w:p>
      <w:pPr>
        <w:pStyle w:val="ListNumber"/>
        <w:spacing w:after="120"/>
      </w:pPr>
      <w:r>
        <w:rPr/>
        <w:t>Standar Luaran Pendidikan Unggul Program Studi Teknik Informatika FTII UNISBANK (standarluaranpendidikanunggul.docx) — rujukan penyelarasan target Kelulusan Tepat Waktu.</w:t>
      </w:r>
    </w:p>
    <w:p>
      <w:pPr>
        <w:pStyle w:val="ListNumber"/>
        <w:spacing w:after="120"/>
      </w:pPr>
      <w:r>
        <w:rPr/>
        <w:t>Standar Penjaminan Mutu Internal Unggul Program Studi Teknik Informatika FTII UNISBANK — rujukan ketentuan lintas-standar root-cause analysis dan SWOT tahunan.</w:t>
      </w:r>
    </w:p>
    <w:p>
      <w:pPr>
        <w:pStyle w:val="ListNumber"/>
        <w:spacing w:after="120"/>
      </w:pPr>
      <w:r>
        <w:rPr/>
        <w:t>Matriks Pemetaan Standar Proses Pendidikan terhadap Permendikbudristek Nomor 53 Tahun 2023, Instrumen Akreditasi LAM INFOKOM, dan Matriks Penilaian LAM Teknik APS-AV 2025.</w:t>
      </w:r>
    </w:p>
    <w:p>
      <w:pPr/>
    </w:p>
    <w:p>
      <w:pPr>
        <w:jc w:val="right"/>
      </w:pPr>
      <w:r>
        <w:rPr>
          <w:i/>
        </w:rPr>
        <w:t>Disusun di Semarang pada tanggal 1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