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PROGRAM STUDI MAGISTER TEKNOLOGI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PkM Program Studi Magister Teknologi Informasi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Pr/>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Program Studi Magister Teknologi Informasi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Program Studi Magister Teknologi Informasi versi Unggul, bukan pada standar ini, agar tidak terjadi duplikasi indikator antar-standar.</w:t>
      </w:r>
    </w:p>
    <w:p>
      <w:pPr>
        <w:spacing w:after="120"/>
      </w:pPr>
      <w:r>
        <w:rPr>
          <w:b w:val="0"/>
          <w:i w:val="0"/>
        </w:rPr>
        <w:t>Melalui penerapan Standar Proses PkM versi Unggul ini, Program Studi Magister Teknologi Informasi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PELAKSANAAN PKM</w:t>
      </w:r>
    </w:p>
    <w:p>
      <w:pPr>
        <w:spacing w:before="200" w:after="80"/>
      </w:pPr>
      <w:r>
        <w:rPr>
          <w:b/>
          <w:sz w:val="25"/>
        </w:rPr>
        <w:t>1. Daftar Istilah</w:t>
      </w:r>
    </w:p>
    <w:p>
      <w:pPr>
        <w:pStyle w:val="ListNumber"/>
        <w:spacing w:after="120"/>
      </w:pPr>
      <w:r>
        <w:rP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rP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rPr/>
        <w:t>Co-Author Publikasi Hasil PkM adalah status mahasiswa sebagai penulis pendamping pada luaran ilmiah hasil kegiatan PkM, diatur secara khusus pada Standar Luaran PkM Program Studi Magister Teknologi Informasi versi Unggul, bukan pada standar ini.</w:t>
      </w:r>
    </w:p>
    <w:p>
      <w:pPr>
        <w:pStyle w:val="ListNumber"/>
        <w:spacing w:after="120"/>
      </w:pPr>
      <w:r>
        <w:rP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rPr/>
        <w:t>Program Studi Magister Teknologi Informasi wajib menjamin seluruh (100%) kegiatan PkM dosen melibatkan mahasiswa sebagai bagian dari implementasi pembelajaran berbasis pengalaman.</w:t>
      </w:r>
    </w:p>
    <w:p>
      <w:pPr>
        <w:pStyle w:val="ListNumber"/>
        <w:spacing w:after="120"/>
      </w:pPr>
      <w:r>
        <w:rPr/>
        <w:t>Program Studi Magister Teknologi Informasi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rPr/>
        <w:t>Keterlibatan mahasiswa sebagai co-author pada publikasi ilmiah hasil PkM diatur secara khusus pada Standar Luaran PkM Program Studi Magister Teknologi Informasi versi Unggul.</w:t>
      </w:r>
    </w:p>
    <w:p>
      <w:pPr>
        <w:pStyle w:val="ListNumber"/>
        <w:spacing w:after="120"/>
      </w:pPr>
      <w:r>
        <w:rPr/>
        <w:t>Program Studi Magister Teknologi Informasi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rPr/>
        <w:t>*Program Studi Magister Teknologi Informasi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rPr/>
        <w:t>Rektor menetapkan kebijakan Standar Pelaksanaan PkM FTII sebagai bagian dari SPMI Universitas, dengan ambang indikator disetarakan pada skor tertinggi instrumen LAM Teknik dan kriteria Unggul LAM INFOKOM.</w:t>
      </w:r>
    </w:p>
    <w:p>
      <w:pPr>
        <w:pStyle w:val="ListNumber"/>
        <w:spacing w:after="120"/>
      </w:pPr>
      <w:r>
        <w:rP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rPr/>
        <w:t>Fakultas dan Program Studi memperluas kerja sama PkM dengan DUDI, instansi pemerintah, dan perguruan tinggi nasional/internasional melalui MoU/MoA, ditargetkan minimal 1-2 kerja sama aktif per kategori per tahun.</w:t>
      </w:r>
    </w:p>
    <w:p>
      <w:pPr>
        <w:pStyle w:val="ListNumber"/>
        <w:spacing w:after="120"/>
      </w:pPr>
      <w:r>
        <w:rP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Persentase kegiatan PkM yang melibatkan mahasiswa [IKU]</w:t>
            </w:r>
          </w:p>
        </w:tc>
        <w:tc>
          <w:tcPr>
            <w:tcW w:type="dxa" w:w="1234"/>
          </w:tcPr>
          <w:p>
            <w:pPr/>
            <w:r/>
            <w:r>
              <w:rPr/>
            </w:r>
            <w:r>
              <w:rPr>
                <w:b w:val="0"/>
              </w:rPr>
              <w:t>%</w:t>
            </w:r>
          </w:p>
        </w:tc>
        <w:tc>
          <w:tcPr>
            <w:tcW w:type="dxa" w:w="1234"/>
          </w:tcPr>
          <w:p>
            <w:pPr/>
            <w:r/>
            <w:r>
              <w:rPr/>
            </w:r>
            <w:r>
              <w:rPr>
                <w:b w:val="0"/>
              </w:rPr>
              <w:t>≥25 (R1); ≥50 (R2); ≥30-60 (R4)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Persentase mahasiswa terlibat dalam PkM dosen [IKU]</w:t>
            </w:r>
          </w:p>
        </w:tc>
        <w:tc>
          <w:tcPr>
            <w:tcW w:type="dxa" w:w="1234"/>
          </w:tcPr>
          <w:p>
            <w:pPr/>
            <w:r/>
            <w:r>
              <w:rPr/>
            </w:r>
            <w:r>
              <w:rPr>
                <w:b w:val="0"/>
              </w:rPr>
              <w:t>%</w:t>
            </w:r>
          </w:p>
        </w:tc>
        <w:tc>
          <w:tcPr>
            <w:tcW w:type="dxa" w:w="1234"/>
          </w:tcPr>
          <w:p>
            <w:pPr/>
            <w:r/>
            <w:r>
              <w:rPr/>
            </w:r>
            <w:r>
              <w:rPr>
                <w:b w:val="0"/>
              </w:rPr>
              <w:t>≥10-25 (R4); ≥25 (R5)</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3</w:t>
            </w:r>
          </w:p>
        </w:tc>
        <w:tc>
          <w:tcPr>
            <w:tcW w:type="dxa" w:w="1234"/>
          </w:tcPr>
          <w:p>
            <w:pPr/>
            <w:r/>
            <w:r>
              <w:rPr/>
            </w:r>
            <w:r>
              <w:rPr>
                <w:b w:val="0"/>
              </w:rPr>
              <w:t>Kerja sama PkM aktif per kategori mitra (DUDI/pemerintah/PT nasional/PT internasional) [IKT - baru]</w:t>
            </w:r>
          </w:p>
        </w:tc>
        <w:tc>
          <w:tcPr>
            <w:tcW w:type="dxa" w:w="1234"/>
          </w:tcPr>
          <w:p>
            <w:pPr/>
            <w:r/>
            <w:r>
              <w:rPr/>
            </w:r>
            <w:r>
              <w:rPr>
                <w:b w:val="0"/>
              </w:rPr>
              <w:t>Kerja sama/kategori/tahun (min)</w:t>
            </w:r>
          </w:p>
        </w:tc>
        <w:tc>
          <w:tcPr>
            <w:tcW w:type="dxa" w:w="1234"/>
          </w:tcPr>
          <w:p>
            <w:pPr/>
            <w:r/>
            <w:r>
              <w:rPr/>
            </w:r>
            <w:r>
              <w:rPr>
                <w:b w:val="0"/>
              </w:rPr>
              <w:t>≥1-2 (pola R2)</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*4</w:t>
            </w:r>
          </w:p>
        </w:tc>
        <w:tc>
          <w:tcPr>
            <w:tcW w:type="dxa" w:w="1234"/>
          </w:tcPr>
          <w:p>
            <w:pPr/>
            <w:r/>
            <w:r>
              <w:rPr/>
            </w:r>
            <w:r>
              <w:rPr/>
              <w:t>Keberlanjutan PkM (PkM sustainability) lintas tahun sesuai RIP/roadmap [IKU - baru]</w:t>
            </w:r>
          </w:p>
        </w:tc>
        <w:tc>
          <w:tcPr>
            <w:tcW w:type="dxa" w:w="1234"/>
          </w:tcPr>
          <w:p>
            <w:pPr/>
            <w:r/>
            <w:r>
              <w:rPr/>
            </w:r>
            <w:r>
              <w:rPr/>
              <w:t>%</w:t>
            </w:r>
          </w:p>
        </w:tc>
        <w:tc>
          <w:tcPr>
            <w:tcW w:type="dxa" w:w="1234"/>
          </w:tcPr>
          <w:p>
            <w:pPr/>
            <w:r/>
            <w:r>
              <w:rPr/>
            </w:r>
            <w:r>
              <w:rPr/>
              <w:t>≥40-60 (target internal FTII, selaras unsur C.4.C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PKM</w:t>
      </w:r>
    </w:p>
    <w:p>
      <w:pPr/>
      <w:r>
        <w:rPr>
          <w:b/>
        </w:rPr>
        <w:t>1. Daftar Istilah</w:t>
      </w:r>
    </w:p>
    <w:p>
      <w:pPr>
        <w:pStyle w:val="ListBullet"/>
      </w:pPr>
      <w:r>
        <w:rPr/>
        <w:t>Penilaian PkM adalah proses penilaian yang dilakukan mulai dari perencanaan, pelaksanaan, sampai pelaporan PkM secara edukatif, objektif, akuntabel, dan transparan.</w:t>
      </w:r>
    </w:p>
    <w:p>
      <w:pPr>
        <w:pStyle w:val="ListBullet"/>
      </w:pPr>
      <w:r>
        <w:rPr/>
        <w:t>Reviewer/Penilai PkM adalah dosen dan/atau pakar yang ditugaskan untuk menilai kelayakan proposal, memantau pelaksanaan, dan menilai hasil PkM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PkM.</w:t>
      </w:r>
    </w:p>
    <w:p>
      <w:pPr>
        <w:pStyle w:val="ListBullet"/>
      </w:pPr>
      <w:r>
        <w:rPr/>
        <w:t>Dekan FTII, dalam pemantauan pelaksanaan penilaian di tingkat program studi.</w:t>
      </w:r>
    </w:p>
    <w:p>
      <w:pPr>
        <w:pStyle w:val="ListBullet"/>
      </w:pPr>
      <w:r>
        <w:rPr/>
        <w:t>Ketua Program Studi, dalam verifikasi kesesuaian hasil penilaian PkM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PkM</w:t>
      </w:r>
    </w:p>
    <w:p>
      <w:pPr>
        <w:pStyle w:val="ListNumber"/>
      </w:pPr>
      <w:r>
        <w:rPr/>
        <w:t>Program Studi Magister Teknologi Informasi wajib menetapkan dan menerapkan instrumen penilaian PkM yang memenuhi unsur edukatif, objektif, akuntabel, dan transparan sesuai Permendikbudristek Nomor 53 Tahun 2023.</w:t>
      </w:r>
    </w:p>
    <w:p>
      <w:pPr>
        <w:pStyle w:val="ListNumber"/>
      </w:pPr>
      <w:r>
        <w:rPr/>
        <w:t>Program Studi Magister Teknologi Informasi wajib menugaskan reviewer internal dan/atau eksternal yang memiliki kualifikasi dan kompetensi sesuai bidang PkM yang dinilai.</w:t>
      </w:r>
    </w:p>
    <w:p>
      <w:pPr>
        <w:pStyle w:val="ListNumber"/>
      </w:pPr>
      <w:r>
        <w:rPr/>
        <w:t>Program Studi Magister Teknologi Informasi wajib melaksanakan penilaian proposal PkM sebelum pendanaan diberikan, mencakup relevansi, metodologi, dan kelayakan anggaran.</w:t>
      </w:r>
    </w:p>
    <w:p>
      <w:pPr>
        <w:pStyle w:val="ListNumber"/>
      </w:pPr>
      <w:r>
        <w:rPr/>
        <w:t>Program Studi Magister Teknologi Informasi wajib melaksanakan monitoring dan evaluasi (monev) pelaksanaan PkM paling sedikit 1 (satu) kali setiap periode kegiatan berjalan.</w:t>
      </w:r>
    </w:p>
    <w:p>
      <w:pPr>
        <w:pStyle w:val="ListNumber"/>
      </w:pPr>
      <w:r>
        <w:rPr/>
        <w:t>Program Studi Magister Teknologi Informasi wajib menilai laporan kemajuan dan laporan akhir PkM berdasarkan kesesuaian capaian dengan proposal dan luaran yang dijanjikan.</w:t>
      </w:r>
    </w:p>
    <w:p>
      <w:pPr>
        <w:pStyle w:val="ListNumber"/>
      </w:pPr>
      <w:r>
        <w:rPr/>
        <w:t>Program Studi Magister Teknologi Informasi wajib mendokumentasikan seluruh hasil penilaian PkM secara transparan dan dapat diakses oleh pihak yang berkepentingan.</w:t>
      </w:r>
    </w:p>
    <w:p>
      <w:pPr>
        <w:pStyle w:val="ListNumber"/>
      </w:pPr>
      <w:r>
        <w:rPr/>
        <w:t>*Program Studi Magister Teknologi Informasi wajib menindaklanjuti hasil penilaian PkM sebagai dasar perbaikan mutu dan keberlanjutan pendanaan pada periode berikutnya.</w:t>
      </w:r>
    </w:p>
    <w:p>
      <w:pPr/>
      <w:r>
        <w:rPr>
          <w:b/>
        </w:rPr>
        <w:t>4. Strategi Pencapaian Standar</w:t>
      </w:r>
    </w:p>
    <w:p>
      <w:pPr>
        <w:pStyle w:val="ListNumber"/>
      </w:pPr>
      <w:r>
        <w:rPr/>
        <w:t>DPPMP menyusun dan menerbitkan instrumen/rubrik penilaian PkM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PkM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PkM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PkM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PkM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PkM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rPr/>
        <w:t>Rektor, dalam menetapkan kebijakan Standar Masukan PkM dan Renstra PkM Universitas.</w:t>
      </w:r>
    </w:p>
    <w:p>
      <w:pPr>
        <w:pStyle w:val="ListBullet"/>
        <w:spacing w:after="80"/>
      </w:pPr>
      <w:r>
        <w:rPr/>
        <w:t>Direktorat Penelitian, Pengabdian kepada Masyarakat dan Publikasi (DPPMP), dalam penyusunan roadmap PkM, Buku Panduan PkM, serta pelaksanaan monitoring-evaluasi.</w:t>
      </w:r>
    </w:p>
    <w:p>
      <w:pPr>
        <w:pStyle w:val="ListBullet"/>
        <w:spacing w:after="80"/>
      </w:pPr>
      <w:r>
        <w:rPr/>
        <w:t>Dekan FTII dan Ketua Program Studi, dalam penyusunan roadmap PkM program studi dan pemantauan pelaksanaannya.</w:t>
      </w:r>
    </w:p>
    <w:p>
      <w:pPr>
        <w:pStyle w:val="ListBullet"/>
        <w:spacing w:after="80"/>
      </w:pPr>
      <w:r>
        <w:rP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rPr/>
        <w:t>Program Studi Magister Teknologi Informasi wajib memiliki dan menerapkan Standar Masukan PkM yang ditetapkan melalui keputusan Rektor sebagai acuan penyediaan sumber daya PkM.</w:t>
      </w:r>
    </w:p>
    <w:p>
      <w:pPr>
        <w:pStyle w:val="ListNumber"/>
        <w:spacing w:after="120"/>
      </w:pPr>
      <w:r>
        <w:rPr/>
        <w:t>Program Studi Magister Teknologi Informasi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rPr/>
        <w:t>Program Studi Magister Teknologi Informasi wajib menjamin persentase kegiatan PkM yang selaras dengan roadmap paling sedikit 90%, meningkat menuju 100%.</w:t>
      </w:r>
    </w:p>
    <w:p>
      <w:pPr>
        <w:pStyle w:val="ListNumber"/>
        <w:spacing w:after="120"/>
      </w:pPr>
      <w:r>
        <w:rPr/>
        <w:t>Program Studi Magister Teknologi Informasi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rPr/>
        <w:t>Program Studi Magister Teknologi Informasi wajib mengukur dan meningkatkan tingkat kepuasan dosen, mahasiswa, dan mitra PkM terhadap sarana-prasarana dan layanan PkM paling sedikit 80%, meningkat menuju paling sedikit 95%.</w:t>
      </w:r>
    </w:p>
    <w:p>
      <w:pPr>
        <w:pStyle w:val="ListNumber"/>
        <w:spacing w:after="120"/>
      </w:pPr>
      <w:r>
        <w:rPr/>
        <w:t>Program Studi Magister Teknologi Informasi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rPr/>
        <w:t>Rektor menetapkan kebijakan Standar Pengelolaan PkM sebagai bagian dari SPMI Universitas, dengan ambang indikator disetarakan pada skor tertinggi instrumen LAM Teknik dan kriteria Unggul LAM INFOKOM.</w:t>
      </w:r>
    </w:p>
    <w:p>
      <w:pPr>
        <w:pStyle w:val="ListNumber"/>
        <w:spacing w:after="120"/>
      </w:pPr>
      <w:r>
        <w:rP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rP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rPr/>
        <w:t>Fakultas dan DPPMP melaksanakan survei kepuasan dosen, mahasiswa, dan mitra PkM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PkM dan roadmap PkM memuat 4 unsur [IKU]</w:t>
            </w:r>
          </w:p>
        </w:tc>
        <w:tc>
          <w:tcPr>
            <w:tcW w:type="dxa" w:w="1234"/>
          </w:tcPr>
          <w:p>
            <w:pPr/>
            <w:r/>
            <w:r>
              <w:rPr/>
            </w:r>
            <w:r>
              <w:rPr>
                <w:b w:val="0"/>
              </w:rPr>
              <w:t>Status</w:t>
            </w:r>
          </w:p>
        </w:tc>
        <w:tc>
          <w:tcPr>
            <w:tcW w:type="dxa" w:w="1234"/>
          </w:tcPr>
          <w:p>
            <w:pPr/>
            <w:r/>
            <w:r>
              <w:rPr/>
            </w:r>
            <w:r>
              <w:rPr>
                <w:b w:val="0"/>
              </w:rPr>
              <w:t>4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kegiatan PkM yang selaras dengan roadmap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Buku Panduan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16</w:t>
            </w:r>
          </w:p>
        </w:tc>
        <w:tc>
          <w:tcPr>
            <w:tcW w:type="dxa" w:w="1234"/>
          </w:tcPr>
          <w:p>
            <w:pPr/>
            <w:r/>
            <w:r>
              <w:rPr/>
            </w:r>
            <w:r>
              <w:rPr>
                <w:b w:val="0"/>
              </w:rPr>
              <w:t>Persentase kepuasan dosen dan mahasiswa terhadap sarana-prasarana dan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17</w:t>
            </w:r>
          </w:p>
        </w:tc>
        <w:tc>
          <w:tcPr>
            <w:tcW w:type="dxa" w:w="1234"/>
          </w:tcPr>
          <w:p>
            <w:pPr/>
            <w:r/>
            <w:r>
              <w:rPr/>
            </w:r>
            <w:r>
              <w:rPr>
                <w:b w:val="0"/>
              </w:rPr>
              <w:t>Persentase kepuasan mitra PkM terhadap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18</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PkM (Tambahan)</w:t>
      </w:r>
    </w:p>
    <w:p>
      <w:pPr>
        <w:spacing w:before="200" w:after="80"/>
      </w:pPr>
      <w:r>
        <w:rPr>
          <w:b/>
          <w:sz w:val="25"/>
        </w:rPr>
        <w:t>1. Daftar Istilah</w:t>
      </w:r>
    </w:p>
    <w:p>
      <w:pPr>
        <w:pStyle w:val="ListNumber"/>
        <w:spacing w:after="120"/>
      </w:pPr>
      <w:r>
        <w:rPr/>
        <w:t>Etika PkM adalah kaidah ilmiah, akademik, hukum, dan norma sosial yang wajib dipatuhi dalam perencanaan, pelaksanaan, dan pelaporan kegiatan PkM.</w:t>
      </w:r>
    </w:p>
    <w:p>
      <w:pPr>
        <w:pStyle w:val="ListNumber"/>
        <w:spacing w:after="120"/>
      </w:pPr>
      <w:r>
        <w:rP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rPr/>
        <w:t>Legalitas Penugasan PkM adalah kelengkapan dokumen resmi (Surat Tugas/SK/kontrak/dokumen kerja sama) yang menjadi dasar sah pelaksanaan kegiatan PkM.</w:t>
      </w:r>
    </w:p>
    <w:p>
      <w:pPr>
        <w:pStyle w:val="ListNumber"/>
        <w:spacing w:after="120"/>
      </w:pPr>
      <w:r>
        <w:rPr/>
        <w:t>Monitoring dan Evaluasi (Monev) Pengelolaan PkM adalah kegiatan pemantauan dan penilaian berkala terhadap tata kelola kelembagaan PkM, terpisah dari monev proses pelaksanaan kegiatan PkM itu sendiri.</w:t>
      </w:r>
    </w:p>
    <w:p>
      <w:pPr>
        <w:pStyle w:val="ListNumber"/>
        <w:spacing w:after="120"/>
      </w:pPr>
      <w:r>
        <w:rPr/>
        <w:t>Siklus PPEPP adalah singkatan dari Penetapan, Pelaksanaan, Evaluasi, Pengendalian, dan Peningkatan standar, menjadi kerangka pengendalian mutu berkelanjutan atas Standar Proses PkM.</w:t>
      </w:r>
    </w:p>
    <w:p>
      <w:pPr>
        <w:pStyle w:val="ListNumber"/>
        <w:spacing w:after="120"/>
      </w:pPr>
      <w:r>
        <w:rPr/>
        <w:t>Audit Mutu Internal (AMI) adalah kegiatan evaluasi sistematis, independen, dan terdokumentasi untuk menentukan tingkat kesesuaian pelaksanaan Standar Proses PkM terhadap ambang yang ditetapkan.</w:t>
      </w:r>
    </w:p>
    <w:p>
      <w:pPr>
        <w:pStyle w:val="ListNumber"/>
        <w:spacing w:after="120"/>
      </w:pPr>
      <w:r>
        <w:rP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rPr/>
        <w:t>Program Studi Magister Teknologi Informasi wajib menjamin nol (0) kasus pelanggaran terhadap kaidah ilmiah, etika akademik, hukum, maupun norma sosial dalam pelaksanaan PkM pada seluruh periode penerapan standar.</w:t>
      </w:r>
    </w:p>
    <w:p>
      <w:pPr>
        <w:pStyle w:val="ListNumber"/>
        <w:spacing w:after="120"/>
      </w:pPr>
      <w:r>
        <w:rPr/>
        <w:t>Program Studi Magister Teknologi Informasi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rPr/>
        <w:t>Program Studi Magister Teknologi Informasi wajib menjamin nol (0) kejadian kecelakaan kerja dan insiden keselamatan-keamanan (K3) pelaksanaan PkM bagi pelaksana, mahasiswa, masyarakat sasaran, dan lingkungan pada seluruh periode penerapan standar.</w:t>
      </w:r>
    </w:p>
    <w:p>
      <w:pPr>
        <w:pStyle w:val="ListNumber"/>
        <w:spacing w:after="120"/>
      </w:pPr>
      <w:r>
        <w:rPr/>
        <w:t>Setiap kegiatan PkM wajib memiliki legalitas penugasan (Surat Tugas/SK/kontrak/dokumen kerja sama) yang lengkap dan terdokumentasi.</w:t>
      </w:r>
    </w:p>
    <w:p>
      <w:pPr>
        <w:pStyle w:val="ListNumber"/>
        <w:spacing w:after="120"/>
      </w:pPr>
      <w:r>
        <w:rPr/>
        <w:t>Program Studi Magister Teknologi Informasi wajib melaksanakan monitoring dan evaluasi proses PkM paling sedikit satu kali per tahun, dan monitoring dan evaluasi pengelolaan kelembagaan PkM paling sedikit satu kali per tahun secara terpisah.</w:t>
      </w:r>
    </w:p>
    <w:p>
      <w:pPr>
        <w:pStyle w:val="ListNumber"/>
        <w:spacing w:after="120"/>
      </w:pPr>
      <w:r>
        <w:rPr/>
        <w:t>Program Studi Magister Teknologi Informasi wajib menjamin persentase rekomendasi hasil monitoring-evaluasi dan Audit Mutu Internal (AMI) PkM yang ditindaklanjuti paling sedikit 70% pada tahun pertama, meningkat menjadi paling sedikit 95% pada tahun ketiga.</w:t>
      </w:r>
    </w:p>
    <w:p>
      <w:pPr>
        <w:pStyle w:val="ListNumber"/>
        <w:spacing w:after="120"/>
      </w:pPr>
      <w:r>
        <w:rPr/>
        <w:t>Program Studi Magister Teknologi Informasi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rP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rP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rPr/>
        <w:t>DPPMP menyusun dan menyosialisasikan pedoman etika PkM, dengan pemantauan berkelanjutan untuk menjaga nol kasus pelanggaran kaidah ilmiah.</w:t>
      </w:r>
    </w:p>
    <w:p>
      <w:pPr>
        <w:pStyle w:val="ListNumber"/>
        <w:spacing w:after="120"/>
      </w:pPr>
      <w:r>
        <w:rPr/>
        <w:t>DJM dan UJM melaksanakan monitoring dan evaluasi proses PkM serta pengelolaan PkM masing-masing paling sedikit satu kali per tahun secara terpisah, dan memantau persentase tindak lanjut rekomendasi menuju 95%.</w:t>
      </w:r>
    </w:p>
    <w:p>
      <w:pPr>
        <w:pStyle w:val="ListNumber"/>
        <w:spacing w:after="120"/>
      </w:pPr>
      <w:r>
        <w:rP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ilmiah/etika PkM [IKU]</w:t>
            </w:r>
          </w:p>
        </w:tc>
        <w:tc>
          <w:tcPr>
            <w:tcW w:type="dxa" w:w="1234"/>
          </w:tcPr>
          <w:p>
            <w:pPr/>
            <w:r/>
            <w:r>
              <w:rPr/>
            </w:r>
            <w:r>
              <w:rPr>
                <w:b w:val="0"/>
              </w:rPr>
              <w:t>Kasus</w:t>
            </w:r>
          </w:p>
        </w:tc>
        <w:tc>
          <w:tcPr>
            <w:tcW w:type="dxa" w:w="1234"/>
          </w:tcPr>
          <w:p>
            <w:pPr/>
            <w:r/>
            <w:r>
              <w:rPr/>
            </w:r>
            <w:r>
              <w:rPr>
                <w:b w:val="0"/>
              </w:rPr>
              <w:t>0 (praktik universal SPMI)</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Verifikasi K3 sebagai syarat lolos proposal PkM [IKU - baru]</w:t>
            </w:r>
          </w:p>
        </w:tc>
        <w:tc>
          <w:tcPr>
            <w:tcW w:type="dxa" w:w="1234"/>
          </w:tcPr>
          <w:p>
            <w:pPr/>
            <w:r/>
            <w:r>
              <w:rPr/>
            </w:r>
            <w:r>
              <w:rPr>
                <w:b w:val="0"/>
              </w:rPr>
              <w:t>%</w:t>
            </w:r>
          </w:p>
        </w:tc>
        <w:tc>
          <w:tcPr>
            <w:tcW w:type="dxa" w:w="1234"/>
          </w:tcPr>
          <w:p>
            <w:pPr/>
            <w:r/>
            <w:r>
              <w:rPr/>
            </w:r>
            <w:r>
              <w:rPr>
                <w:b w:val="0"/>
              </w:rPr>
              <w:t>wajib (R1/R5)</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Kejadian kecelakaan kerja/insiden K3 pelaksanaan PkM [IKU - baru]</w:t>
            </w:r>
          </w:p>
        </w:tc>
        <w:tc>
          <w:tcPr>
            <w:tcW w:type="dxa" w:w="1234"/>
          </w:tcPr>
          <w:p>
            <w:pPr/>
            <w:r/>
            <w:r>
              <w:rPr/>
            </w:r>
            <w:r>
              <w:rPr>
                <w:b w:val="0"/>
              </w:rPr>
              <w:t>Kejadian</w:t>
            </w:r>
          </w:p>
        </w:tc>
        <w:tc>
          <w:tcPr>
            <w:tcW w:type="dxa" w:w="1234"/>
          </w:tcPr>
          <w:p>
            <w:pPr/>
            <w:r/>
            <w:r>
              <w:rPr/>
            </w:r>
            <w:r>
              <w:rPr>
                <w:b w:val="0"/>
              </w:rPr>
              <w:t>0 (praktik baik R1/R5)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4</w:t>
            </w:r>
          </w:p>
        </w:tc>
        <w:tc>
          <w:tcPr>
            <w:tcW w:type="dxa" w:w="1234"/>
          </w:tcPr>
          <w:p>
            <w:pPr/>
            <w:r/>
            <w:r>
              <w:rPr/>
            </w:r>
            <w:r>
              <w:rPr>
                <w:b w:val="0"/>
              </w:rPr>
              <w:t>Frekuensi monev proses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Frekuensi monev pengelolaan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Persentase rekomendasi monev/AMI PkM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Ketersediaan dokumen Audit Mutu Internal (AMI) Standar Proses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320" w:after="120"/>
      </w:pPr>
      <w:r>
        <w:rPr>
          <w:b/>
          <w:sz w:val="28"/>
        </w:rPr>
        <w:t>DOKUMEN TERKAIT PELAKSANAAN STANDAR</w:t>
      </w:r>
    </w:p>
    <w:p>
      <w:pPr>
        <w:pStyle w:val="ListNumber"/>
        <w:spacing w:after="120"/>
      </w:pPr>
      <w:r>
        <w:rPr/>
        <w:t>Dokumen kebijakan dan penetapan Standar Proses PkM Program Studi Magister Teknologi Informasi (Surat Keputusan Rektor).</w:t>
      </w:r>
    </w:p>
    <w:p>
      <w:pPr>
        <w:pStyle w:val="ListNumber"/>
        <w:spacing w:after="120"/>
      </w:pPr>
      <w:r>
        <w:rPr/>
        <w:t>Dokumen Rencana Induk PkM (RIP)/roadmap PkM fakultas dan program studi beserta bukti sosialisasi.</w:t>
      </w:r>
    </w:p>
    <w:p>
      <w:pPr>
        <w:pStyle w:val="ListNumber"/>
        <w:spacing w:after="120"/>
      </w:pPr>
      <w:r>
        <w:rPr/>
        <w:t>Checklist dan dokumentasi bukti proses PkM (tata cara review, instrumen penilaian, legalitas reviewer, hasil review, legalitas penugasan/kerja sama, kontrak, berita acara monev, laporan AMI, dokumentasi luaran).</w:t>
      </w:r>
    </w:p>
    <w:p>
      <w:pPr>
        <w:pStyle w:val="ListNumber"/>
        <w:spacing w:after="120"/>
      </w:pPr>
      <w:r>
        <w:rPr/>
        <w:t>Dokumen pemetaan judul PkM terhadap roadmap/RIP per tahun akademik.</w:t>
      </w:r>
    </w:p>
    <w:p>
      <w:pPr>
        <w:pStyle w:val="ListNumber"/>
        <w:spacing w:after="120"/>
      </w:pPr>
      <w:r>
        <w:rPr/>
        <w:t>Dokumen keterlibatan mahasiswa dalam PkM dosen (daftar judul dan daftar mahasiswa terlibat).</w:t>
      </w:r>
    </w:p>
    <w:p>
      <w:pPr>
        <w:pStyle w:val="ListNumber"/>
        <w:spacing w:after="120"/>
      </w:pPr>
      <w:r>
        <w:rPr/>
        <w:t>Dokumen verifikasi keselamatan kerja (K3) pada proposal PkM dan laporan insiden (jika ada).</w:t>
      </w:r>
    </w:p>
    <w:p>
      <w:pPr>
        <w:pStyle w:val="ListNumber"/>
        <w:spacing w:after="120"/>
      </w:pPr>
      <w:r>
        <w:rPr/>
        <w:t>Dokumen kerja sama PkM (MoU/MoA) dengan DUDI, instansi pemerintah, dan perguruan tinggi nasional/internasional beserta laporan kegiatan.</w:t>
      </w:r>
    </w:p>
    <w:p>
      <w:pPr>
        <w:pStyle w:val="ListNumber"/>
        <w:spacing w:after="120"/>
      </w:pPr>
      <w:r>
        <w:rPr/>
        <w:t>Dokumen etika PkM dan laporan pelanggaran (jika ada).</w:t>
      </w:r>
    </w:p>
    <w:p>
      <w:pPr>
        <w:pStyle w:val="ListNumber"/>
        <w:spacing w:after="120"/>
      </w:pPr>
      <w:r>
        <w:rPr/>
        <w:t>Laporan Monitoring dan Evaluasi (Monev) proses PkM dan pengelolaan PkM, beserta rekap persentase tindak lanjut rekomendasi.</w:t>
      </w:r>
    </w:p>
    <w:p>
      <w:pPr>
        <w:pStyle w:val="ListNumber"/>
        <w:spacing w:after="120"/>
      </w:pPr>
      <w:r>
        <w:rPr/>
        <w:t>Laporan Audit Mutu Internal (AMI) dan Berita Acara Rapat Tinjauan Manajemen (RTM) atas Standar Proses PkM.</w:t>
      </w:r>
    </w:p>
    <w:p>
      <w:pPr>
        <w:pStyle w:val="ListNumber"/>
        <w:spacing w:after="120"/>
      </w:pPr>
      <w:r>
        <w:rPr/>
        <w:t>Rencana Tindak Lanjut (RTL) hasil evaluasi dan AMI periode berjalan.</w:t>
      </w:r>
    </w:p>
    <w:p>
      <w:pPr>
        <w:pStyle w:val="ListNumber"/>
        <w:spacing w:after="120"/>
      </w:pPr>
      <w:r>
        <w:rPr/>
        <w:t>Dokumen pemetaan gap Standar Proses PkM terhadap 5 dokumen rujukan (standarprosespkm.docx).</w:t>
      </w:r>
    </w:p>
    <w:p>
      <w:pPr>
        <w:pStyle w:val="ListNumber"/>
        <w:spacing w:after="120"/>
      </w:pPr>
      <w:r>
        <w:rP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Matriks Penilaian Laporan Evaluasi Diri dan Laporan Kinerja Program Studi LAM Teknik APS-AV 2025 1.0.</w:t>
      </w:r>
    </w:p>
    <w:p>
      <w:pPr>
        <w:pStyle w:val="ListNumber"/>
        <w:spacing w:after="120"/>
      </w:pPr>
      <w:r>
        <w:rPr/>
        <w:t>Kriteria Terakreditasi Unggul 2.1 LAM INFOKOM.</w:t>
      </w:r>
    </w:p>
    <w:p>
      <w:pPr>
        <w:pStyle w:val="ListNumber"/>
        <w:spacing w:after="120"/>
      </w:pPr>
      <w:r>
        <w:rPr/>
        <w:t>Peraturan Lembaga Akreditasi Mandiri Informatika dan Komputer Nomor 11/PERLAM/MA/LAM-INFOKOM/X/2025 tentang Instrumen Akreditasi Program Studi 2.1 Lingkup Informatika dan Komputer.</w:t>
      </w:r>
    </w:p>
    <w:p>
      <w:pPr>
        <w:pStyle w:val="ListNumber"/>
        <w:spacing w:after="120"/>
      </w:pPr>
      <w:r>
        <w:rPr/>
        <w:t>Rencana Strategis (Renstra) Universitas Stikubank (UNISBANK) Semarang.</w:t>
      </w:r>
    </w:p>
    <w:p>
      <w:pPr>
        <w:pStyle w:val="ListNumber"/>
        <w:spacing w:after="120"/>
      </w:pPr>
      <w:r>
        <w:rPr/>
        <w:t>Standar Penjaminan Mutu Internal FTII Universitas Stikubank (UNISBANK) Semarang versi Unggul.</w:t>
      </w:r>
    </w:p>
    <w:p>
      <w:pPr>
        <w:pStyle w:val="ListNumber"/>
        <w:spacing w:after="120"/>
      </w:pPr>
      <w:r>
        <w:rPr/>
        <w:t>Standar Masukan PkM dan Standar Luaran PkM Program Studi Magister Teknologi Informasi Universitas Stikubank (UNISBANK) Semarang versi Unggul.</w:t>
      </w:r>
    </w:p>
    <w:p>
      <w:pPr>
        <w:pStyle w:val="ListNumber"/>
        <w:spacing w:after="120"/>
      </w:pPr>
      <w:r>
        <w:rPr/>
        <w:t>Dokumen pemetaan gap Standar Proses PkM Program Studi Magister Teknologi Informasi terhadap 5 dokumen rujukan (standarprosespkm.docx).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